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BD988F" w14:textId="17A6AF21"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Pr="00614DD8">
        <w:rPr>
          <w:rFonts w:ascii="Arial" w:eastAsia="SimSun" w:hAnsi="Arial" w:cs="Times New Roman"/>
          <w:b/>
          <w:bCs/>
          <w:sz w:val="24"/>
          <w:szCs w:val="20"/>
          <w:lang w:val="en-US"/>
        </w:rPr>
        <w:tab/>
      </w:r>
      <w:r w:rsidRPr="00800AF2">
        <w:rPr>
          <w:rFonts w:ascii="Arial" w:eastAsia="SimSun" w:hAnsi="Arial" w:cs="Times New Roman"/>
          <w:b/>
          <w:bCs/>
          <w:sz w:val="24"/>
          <w:szCs w:val="20"/>
          <w:lang w:val="en-US" w:eastAsia="ja-JP"/>
        </w:rPr>
        <w:t>R4-</w:t>
      </w:r>
      <w:r w:rsidR="00AE2BA5" w:rsidRPr="00800AF2">
        <w:rPr>
          <w:rFonts w:ascii="Arial" w:eastAsia="SimSun" w:hAnsi="Arial" w:cs="Times New Roman"/>
          <w:b/>
          <w:bCs/>
          <w:sz w:val="24"/>
          <w:szCs w:val="20"/>
          <w:lang w:val="en-US" w:eastAsia="zh-CN"/>
        </w:rPr>
        <w:t>2</w:t>
      </w:r>
      <w:r w:rsidR="00E51930" w:rsidRPr="00800AF2">
        <w:rPr>
          <w:rFonts w:ascii="Arial" w:eastAsia="SimSun" w:hAnsi="Arial" w:cs="Times New Roman"/>
          <w:b/>
          <w:bCs/>
          <w:sz w:val="24"/>
          <w:szCs w:val="20"/>
          <w:lang w:val="en-US" w:eastAsia="zh-CN"/>
        </w:rPr>
        <w:t>4</w:t>
      </w:r>
      <w:r w:rsidR="00800AF2" w:rsidRPr="00800AF2">
        <w:rPr>
          <w:rFonts w:ascii="Arial" w:eastAsia="SimSun" w:hAnsi="Arial" w:cs="Times New Roman"/>
          <w:b/>
          <w:bCs/>
          <w:sz w:val="24"/>
          <w:szCs w:val="20"/>
          <w:lang w:val="en-US" w:eastAsia="zh-CN"/>
        </w:rPr>
        <w:t>11045</w:t>
      </w:r>
    </w:p>
    <w:p w14:paraId="47925C7F" w14:textId="77777777" w:rsidR="00841BCD" w:rsidRPr="00614DD8" w:rsidRDefault="00E82B9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E82B94">
        <w:rPr>
          <w:rFonts w:ascii="Arial" w:eastAsia="SimSun" w:hAnsi="Arial" w:cs="Times New Roman"/>
          <w:b/>
          <w:sz w:val="24"/>
          <w:szCs w:val="20"/>
          <w:lang w:val="en-US"/>
        </w:rPr>
        <w:t>Maastricht</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Netherlands</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2</w:t>
      </w:r>
      <w:r>
        <w:rPr>
          <w:rFonts w:ascii="Arial" w:eastAsia="SimSun" w:hAnsi="Arial" w:cs="Times New Roman"/>
          <w:b/>
          <w:sz w:val="24"/>
          <w:szCs w:val="20"/>
          <w:lang w:val="en-US"/>
        </w:rPr>
        <w:t>3</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54F356F7"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65C31FA"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69F5FB0A" w14:textId="5A1487D0"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094DE7">
        <w:rPr>
          <w:rFonts w:ascii="Arial" w:eastAsia="Calibri" w:hAnsi="Arial" w:cs="Arial"/>
          <w:b/>
          <w:bCs/>
          <w:sz w:val="24"/>
          <w:lang w:val="en-US"/>
        </w:rPr>
        <w:t>Discussion on 8Rx UE Demodulation with MMSE-IRC</w:t>
      </w:r>
    </w:p>
    <w:p w14:paraId="1CACA9D1" w14:textId="29525636"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094DE7">
        <w:rPr>
          <w:rFonts w:ascii="Arial" w:eastAsia="MS Mincho" w:hAnsi="Arial" w:cs="Arial"/>
          <w:b/>
          <w:bCs/>
          <w:sz w:val="24"/>
          <w:szCs w:val="20"/>
          <w:lang w:val="en-US"/>
        </w:rPr>
        <w:t>8.16.2</w:t>
      </w:r>
    </w:p>
    <w:p w14:paraId="26FB8215"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9BA1A3A" w14:textId="77777777" w:rsidR="00E323E9" w:rsidRPr="00614DD8" w:rsidRDefault="00E323E9" w:rsidP="00841BCD">
      <w:pPr>
        <w:tabs>
          <w:tab w:val="left" w:pos="1985"/>
        </w:tabs>
        <w:rPr>
          <w:rFonts w:ascii="Arial" w:eastAsia="Calibri" w:hAnsi="Arial" w:cs="Arial"/>
          <w:b/>
          <w:bCs/>
          <w:sz w:val="24"/>
          <w:lang w:val="en-US"/>
        </w:rPr>
      </w:pPr>
    </w:p>
    <w:p w14:paraId="138CD833"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04EAE1A6" w14:textId="6EEDE4AA" w:rsidR="0060543D" w:rsidRPr="00614DD8" w:rsidRDefault="00234149" w:rsidP="005C23A4">
      <w:pPr>
        <w:rPr>
          <w:lang w:val="en-US"/>
        </w:rPr>
      </w:pPr>
      <w:r>
        <w:rPr>
          <w:lang w:val="en-US"/>
        </w:rPr>
        <w:t>During RAN#10</w:t>
      </w:r>
      <w:r w:rsidR="004C5763">
        <w:rPr>
          <w:lang w:val="en-US"/>
        </w:rPr>
        <w:t>4</w:t>
      </w:r>
      <w:r>
        <w:rPr>
          <w:lang w:val="en-US"/>
        </w:rPr>
        <w:t xml:space="preserve"> the </w:t>
      </w:r>
      <w:r w:rsidR="00EF13A7">
        <w:rPr>
          <w:lang w:val="en-US"/>
        </w:rPr>
        <w:t>work</w:t>
      </w:r>
      <w:r>
        <w:rPr>
          <w:lang w:val="en-US"/>
        </w:rPr>
        <w:t xml:space="preserve"> item on </w:t>
      </w:r>
      <w:r w:rsidR="00EF13A7" w:rsidRPr="00EF13A7">
        <w:rPr>
          <w:lang w:val="en-US"/>
        </w:rPr>
        <w:t>NR demodulation performance: Phase 5</w:t>
      </w:r>
      <w:r w:rsidR="00EF13A7">
        <w:rPr>
          <w:lang w:val="en-US"/>
        </w:rPr>
        <w:t xml:space="preserve"> </w:t>
      </w:r>
      <w:r>
        <w:rPr>
          <w:lang w:val="en-US"/>
        </w:rPr>
        <w:t xml:space="preserve">was agreed, whereby the </w:t>
      </w:r>
      <w:r w:rsidR="00EF13A7">
        <w:rPr>
          <w:lang w:val="en-US"/>
        </w:rPr>
        <w:t>W</w:t>
      </w:r>
      <w:r>
        <w:rPr>
          <w:lang w:val="en-US"/>
        </w:rPr>
        <w:t xml:space="preserve">I is due to start during RAN4#112, within this contribution </w:t>
      </w:r>
      <w:proofErr w:type="gramStart"/>
      <w:r>
        <w:rPr>
          <w:lang w:val="en-US"/>
        </w:rPr>
        <w:t>a number of</w:t>
      </w:r>
      <w:proofErr w:type="gramEnd"/>
      <w:r>
        <w:rPr>
          <w:lang w:val="en-US"/>
        </w:rPr>
        <w:t xml:space="preserve"> views are presented on different aspects relating to </w:t>
      </w:r>
      <w:r w:rsidR="00EF13A7">
        <w:rPr>
          <w:lang w:val="en-US"/>
        </w:rPr>
        <w:t xml:space="preserve">the UE demodulation aspects of </w:t>
      </w:r>
      <w:r>
        <w:rPr>
          <w:lang w:val="en-US"/>
        </w:rPr>
        <w:t xml:space="preserve">the </w:t>
      </w:r>
      <w:r w:rsidR="00EF13A7">
        <w:rPr>
          <w:lang w:val="en-US"/>
        </w:rPr>
        <w:t>W</w:t>
      </w:r>
      <w:r>
        <w:rPr>
          <w:lang w:val="en-US"/>
        </w:rPr>
        <w:t>I.</w:t>
      </w:r>
    </w:p>
    <w:p w14:paraId="41DF50C8" w14:textId="77777777" w:rsidR="003B659E" w:rsidRPr="00614DD8" w:rsidRDefault="003B659E" w:rsidP="00AE56B1">
      <w:pPr>
        <w:pStyle w:val="RAN4H1"/>
        <w:rPr>
          <w:lang w:val="en-US"/>
        </w:rPr>
      </w:pPr>
      <w:bookmarkStart w:id="4" w:name="_Toc116995842"/>
      <w:r w:rsidRPr="00614DD8">
        <w:rPr>
          <w:lang w:val="en-US"/>
        </w:rPr>
        <w:t>Discussion</w:t>
      </w:r>
      <w:bookmarkEnd w:id="4"/>
    </w:p>
    <w:p w14:paraId="2F2ADA54" w14:textId="44DA5C6A" w:rsidR="00CB22B2" w:rsidRPr="00EF13A7" w:rsidRDefault="00EF13A7" w:rsidP="00496606">
      <w:pPr>
        <w:pStyle w:val="RAN4H2"/>
        <w:rPr>
          <w:lang w:val="en-US"/>
        </w:rPr>
      </w:pPr>
      <w:r w:rsidRPr="00EF13A7">
        <w:rPr>
          <w:lang w:val="en-US"/>
        </w:rPr>
        <w:t>Topics and common parameters</w:t>
      </w:r>
    </w:p>
    <w:p w14:paraId="1BC58AD8" w14:textId="39000481" w:rsidR="00EF13A7" w:rsidRPr="00EF13A7" w:rsidRDefault="00EF13A7" w:rsidP="00EF13A7">
      <w:pPr>
        <w:rPr>
          <w:lang w:val="en-US"/>
        </w:rPr>
      </w:pPr>
      <w:r w:rsidRPr="00EF13A7">
        <w:rPr>
          <w:lang w:val="en-US"/>
        </w:rPr>
        <w:t>Within the WID the following topics are defined for work under Rel-19:</w:t>
      </w:r>
    </w:p>
    <w:tbl>
      <w:tblPr>
        <w:tblStyle w:val="TableGrid"/>
        <w:tblW w:w="0" w:type="auto"/>
        <w:tblLook w:val="04A0" w:firstRow="1" w:lastRow="0" w:firstColumn="1" w:lastColumn="0" w:noHBand="0" w:noVBand="1"/>
      </w:tblPr>
      <w:tblGrid>
        <w:gridCol w:w="9617"/>
      </w:tblGrid>
      <w:tr w:rsidR="00EF13A7" w14:paraId="0EFFE085" w14:textId="77777777" w:rsidTr="00247771">
        <w:tc>
          <w:tcPr>
            <w:tcW w:w="9617" w:type="dxa"/>
          </w:tcPr>
          <w:p w14:paraId="6ECF6EC9" w14:textId="77777777" w:rsidR="00EF13A7" w:rsidRPr="00094DE7" w:rsidRDefault="00EF13A7" w:rsidP="00247771">
            <w:pPr>
              <w:numPr>
                <w:ilvl w:val="0"/>
                <w:numId w:val="27"/>
              </w:numPr>
            </w:pPr>
            <w:r w:rsidRPr="00094DE7">
              <w:t xml:space="preserve">Define the following UE performance </w:t>
            </w:r>
            <w:r w:rsidRPr="00094DE7">
              <w:rPr>
                <w:lang w:val="en-US"/>
              </w:rPr>
              <w:t>requirements</w:t>
            </w:r>
            <w:r w:rsidRPr="00094DE7">
              <w:t xml:space="preserve"> for 8Rx CPE/FWA/vehicle/industrial devices:</w:t>
            </w:r>
          </w:p>
          <w:p w14:paraId="26D9FB4C" w14:textId="77777777" w:rsidR="00EF13A7" w:rsidRPr="00094DE7" w:rsidRDefault="00EF13A7" w:rsidP="00247771">
            <w:pPr>
              <w:numPr>
                <w:ilvl w:val="1"/>
                <w:numId w:val="27"/>
              </w:numPr>
            </w:pPr>
            <w:r w:rsidRPr="00094DE7">
              <w:t>PDSCH demodulation and CQI reporting requirements with inter-cell interference with MMSE-IRC receiver</w:t>
            </w:r>
          </w:p>
          <w:p w14:paraId="138A6A34" w14:textId="77777777" w:rsidR="00EF13A7" w:rsidRPr="00094DE7" w:rsidRDefault="00EF13A7" w:rsidP="00247771">
            <w:pPr>
              <w:numPr>
                <w:ilvl w:val="2"/>
                <w:numId w:val="27"/>
              </w:numPr>
            </w:pPr>
            <w:r w:rsidRPr="00094DE7">
              <w:t>Reuse the Rel-17 interference model for 2/4Rx UE as a baseline</w:t>
            </w:r>
          </w:p>
          <w:p w14:paraId="40190D54" w14:textId="77777777" w:rsidR="00EF13A7" w:rsidRPr="00094DE7" w:rsidRDefault="00EF13A7" w:rsidP="00247771">
            <w:pPr>
              <w:numPr>
                <w:ilvl w:val="1"/>
                <w:numId w:val="27"/>
              </w:numPr>
            </w:pPr>
            <w:r w:rsidRPr="00094DE7">
              <w:t>PDSCH demodulation requirements with intra-cell inter-user interference with MMSE-IRC receiver</w:t>
            </w:r>
          </w:p>
          <w:p w14:paraId="1C213173" w14:textId="77777777" w:rsidR="00EF13A7" w:rsidRPr="00094DE7" w:rsidRDefault="00EF13A7" w:rsidP="00247771">
            <w:pPr>
              <w:numPr>
                <w:ilvl w:val="2"/>
                <w:numId w:val="27"/>
              </w:numPr>
            </w:pPr>
            <w:r w:rsidRPr="00094DE7">
              <w:t>Reuse the existing interference model for 2/4Rx UE as a baseline</w:t>
            </w:r>
          </w:p>
          <w:p w14:paraId="4072CBC3" w14:textId="77777777" w:rsidR="00EF13A7" w:rsidRDefault="00EF13A7" w:rsidP="00247771">
            <w:pPr>
              <w:rPr>
                <w:lang w:val="en-US"/>
              </w:rPr>
            </w:pPr>
          </w:p>
        </w:tc>
      </w:tr>
    </w:tbl>
    <w:p w14:paraId="488D4651" w14:textId="77777777" w:rsidR="00EF13A7" w:rsidRDefault="00EF13A7" w:rsidP="00EF13A7">
      <w:pPr>
        <w:rPr>
          <w:highlight w:val="yellow"/>
          <w:lang w:val="en-US"/>
        </w:rPr>
      </w:pPr>
    </w:p>
    <w:p w14:paraId="684E11AB" w14:textId="1A1DF019" w:rsidR="00EF13A7" w:rsidRDefault="00EF13A7" w:rsidP="00EF13A7">
      <w:pPr>
        <w:rPr>
          <w:lang w:val="en-US"/>
        </w:rPr>
      </w:pPr>
      <w:r w:rsidRPr="00EF13A7">
        <w:rPr>
          <w:lang w:val="en-US"/>
        </w:rPr>
        <w:t xml:space="preserve">Nokia believes that as both inter-cell and intra-cell, inter-user interference are defined for CPE/FWA/vehicle/industrial that one common set of parameters should be agreed based on the device </w:t>
      </w:r>
      <w:proofErr w:type="gramStart"/>
      <w:r w:rsidRPr="00EF13A7">
        <w:rPr>
          <w:lang w:val="en-US"/>
        </w:rPr>
        <w:t>deployment;</w:t>
      </w:r>
      <w:proofErr w:type="gramEnd"/>
      <w:r w:rsidRPr="00EF13A7">
        <w:rPr>
          <w:lang w:val="en-US"/>
        </w:rPr>
        <w:t xml:space="preserve"> where performance requirements can then be derived based on interference specific aspects.</w:t>
      </w:r>
    </w:p>
    <w:p w14:paraId="10F7A8BD" w14:textId="720A2C1F" w:rsidR="00EF13A7" w:rsidRDefault="00EF13A7" w:rsidP="00EF13A7">
      <w:pPr>
        <w:pStyle w:val="RAN4proposal"/>
        <w:rPr>
          <w:lang w:val="en-US"/>
        </w:rPr>
      </w:pPr>
      <w:bookmarkStart w:id="5" w:name="_Toc174013158"/>
      <w:r>
        <w:rPr>
          <w:lang w:val="en-US"/>
        </w:rPr>
        <w:t>RAN4 shall use a common set of parameters between both inter-cell and intra-cell deployments for 8Rx with MMSE-IRC.</w:t>
      </w:r>
      <w:bookmarkEnd w:id="5"/>
    </w:p>
    <w:p w14:paraId="46BC8411" w14:textId="661BCCE8" w:rsidR="00DC4B8B" w:rsidRDefault="00DC4B8B" w:rsidP="00DC4B8B">
      <w:pPr>
        <w:pStyle w:val="RAN4H2"/>
        <w:rPr>
          <w:lang w:val="en-US"/>
        </w:rPr>
      </w:pPr>
      <w:r>
        <w:rPr>
          <w:lang w:val="en-US"/>
        </w:rPr>
        <w:t>Duplex Mode</w:t>
      </w:r>
    </w:p>
    <w:p w14:paraId="730D1FC0" w14:textId="5BC3E3AD" w:rsidR="00DC4B8B" w:rsidRDefault="00DC4B8B" w:rsidP="00DC4B8B">
      <w:r>
        <w:rPr>
          <w:lang w:val="en-US"/>
        </w:rPr>
        <w:t>Under the assumption that the WI for 8Rx in Rel-19 is based on the same bands of interest as Rel-18 (</w:t>
      </w:r>
      <w:r>
        <w:t>both TDD bands (n41, n77/n78 and n79) and n1 for FDD band) then if naturally flows that requirements for this WI should be defined for both TDD and FDD.</w:t>
      </w:r>
    </w:p>
    <w:p w14:paraId="67C602B9" w14:textId="77777777" w:rsidR="00DC4B8B" w:rsidRDefault="00DC4B8B" w:rsidP="00DC4B8B">
      <w:pPr>
        <w:pStyle w:val="RAN4proposal"/>
      </w:pPr>
      <w:bookmarkStart w:id="6" w:name="_Toc174013159"/>
      <w:r>
        <w:t>RAN4 to introduce UE demodulation requirements for both TDD and FDD for 8Rx</w:t>
      </w:r>
      <w:bookmarkEnd w:id="6"/>
    </w:p>
    <w:p w14:paraId="029DE270" w14:textId="336A89BF" w:rsidR="00B77780" w:rsidRDefault="004B2E20" w:rsidP="00B77780">
      <w:pPr>
        <w:pStyle w:val="RAN4H2"/>
      </w:pPr>
      <w:r>
        <w:t>Deployment Specific Parameters</w:t>
      </w:r>
    </w:p>
    <w:p w14:paraId="074F9B36" w14:textId="05A14901" w:rsidR="00B77780" w:rsidRDefault="004B2E20" w:rsidP="00B77780">
      <w:pPr>
        <w:pStyle w:val="RAN4H3"/>
      </w:pPr>
      <w:r>
        <w:t xml:space="preserve">Channel Model Question: </w:t>
      </w:r>
      <w:r w:rsidR="00B77780">
        <w:t>TDL vs CDL</w:t>
      </w:r>
    </w:p>
    <w:p w14:paraId="2AA75778" w14:textId="67CFBC20" w:rsidR="00B77780" w:rsidRDefault="00B77780" w:rsidP="00B77780">
      <w:r>
        <w:t xml:space="preserve">Due to the ongoing Study Item on spatial channel model, Nokia believes that although a spatial channel model would be required to </w:t>
      </w:r>
      <w:proofErr w:type="gramStart"/>
      <w:r>
        <w:t>observed</w:t>
      </w:r>
      <w:proofErr w:type="gramEnd"/>
      <w:r>
        <w:t xml:space="preserve"> the effects of 8Rx, specifically when the number of layers is greater than 4</w:t>
      </w:r>
      <w:r w:rsidR="006725CA">
        <w:t>,</w:t>
      </w:r>
      <w:r>
        <w:t xml:space="preserve"> and 2 codewords will be used</w:t>
      </w:r>
      <w:r w:rsidR="009B7B48">
        <w:t xml:space="preserve">, this will not be possible in this WI, due to that due to the fact that this Study item is ongoing. </w:t>
      </w:r>
      <w:proofErr w:type="gramStart"/>
      <w:r w:rsidR="009B7B48">
        <w:t>Therefore</w:t>
      </w:r>
      <w:proofErr w:type="gramEnd"/>
      <w:r>
        <w:t xml:space="preserve"> a TDL channel (with low correlation) should be used, with specifics agreed according to the channel parameters.</w:t>
      </w:r>
    </w:p>
    <w:p w14:paraId="1EB46C39" w14:textId="6587E5F9" w:rsidR="00B77780" w:rsidRDefault="00B77780" w:rsidP="00B77780">
      <w:pPr>
        <w:pStyle w:val="RAN4observation0"/>
      </w:pPr>
      <w:bookmarkStart w:id="7" w:name="_Toc174013160"/>
      <w:r>
        <w:lastRenderedPageBreak/>
        <w:t xml:space="preserve">A spatial channel model, such as CDL, should be used for observing the spatial effects of a feature like 8Rx; however, as this is ongoing in Rel-19 it would not be possible to </w:t>
      </w:r>
      <w:r w:rsidR="009436F1">
        <w:t>agree</w:t>
      </w:r>
      <w:r>
        <w:t xml:space="preserve"> </w:t>
      </w:r>
      <w:r w:rsidR="00D46D8A">
        <w:t xml:space="preserve">a SCM </w:t>
      </w:r>
      <w:r>
        <w:t>in this work item</w:t>
      </w:r>
      <w:bookmarkEnd w:id="7"/>
    </w:p>
    <w:p w14:paraId="2703C619" w14:textId="5B0CD508" w:rsidR="00B77780" w:rsidRPr="00B77780" w:rsidRDefault="00B77780" w:rsidP="00B77780">
      <w:pPr>
        <w:pStyle w:val="RAN4proposal"/>
      </w:pPr>
      <w:bookmarkStart w:id="8" w:name="_Toc174013161"/>
      <w:r>
        <w:t>RAN4 shall use</w:t>
      </w:r>
      <w:r w:rsidR="007554BE">
        <w:t xml:space="preserve"> a</w:t>
      </w:r>
      <w:r>
        <w:t xml:space="preserve"> TDL </w:t>
      </w:r>
      <w:r w:rsidR="007554BE">
        <w:t xml:space="preserve">based model </w:t>
      </w:r>
      <w:r>
        <w:t>for performance requirements.</w:t>
      </w:r>
      <w:bookmarkEnd w:id="8"/>
    </w:p>
    <w:p w14:paraId="618F3B41" w14:textId="2332413D" w:rsidR="00B77780" w:rsidRDefault="004B2E20" w:rsidP="00B77780">
      <w:pPr>
        <w:pStyle w:val="RAN4H3"/>
      </w:pPr>
      <w:r>
        <w:t>Parameters</w:t>
      </w:r>
      <w:r w:rsidR="00D776C9">
        <w:t xml:space="preserve"> for FWA</w:t>
      </w:r>
      <w:r w:rsidR="0060241A">
        <w:t xml:space="preserve"> Deployment</w:t>
      </w:r>
    </w:p>
    <w:p w14:paraId="1A684186" w14:textId="77777777" w:rsidR="009B5AE0" w:rsidRDefault="009B5AE0" w:rsidP="009B5AE0">
      <w:r>
        <w:t>FWA will require stable, high throughput communications in order support enhanced throughput for the CPE.</w:t>
      </w:r>
    </w:p>
    <w:p w14:paraId="49A25A3A" w14:textId="77777777" w:rsidR="009B5AE0" w:rsidRDefault="009B5AE0" w:rsidP="009B5AE0">
      <w:r w:rsidRPr="004C6778">
        <w:t>As FWA use cases imply a high uplink data throughput</w:t>
      </w:r>
      <w:r>
        <w:t xml:space="preserve"> and potentially large antenna gain/link budget</w:t>
      </w:r>
      <w:r w:rsidRPr="004C6778">
        <w:t xml:space="preserve">, </w:t>
      </w:r>
      <w:r>
        <w:t>hence</w:t>
      </w:r>
      <w:r w:rsidRPr="004C6778">
        <w:t xml:space="preserve"> a relatively high MCS is recommended to be chosen.</w:t>
      </w:r>
    </w:p>
    <w:p w14:paraId="746C48F8" w14:textId="77777777" w:rsidR="009B5AE0" w:rsidRDefault="009B5AE0" w:rsidP="009B5AE0">
      <w:r>
        <w:t xml:space="preserve">Furthermore, as it is likely the CPE and FWA link will likely be deployed as part of a prepared equipment deployment, rather than a mobile ad-hoc deployment, there will be low to no mobility, and a moderate amount of multipath will be observed. Note: the multipath is expected to be moderate/low, as it is expected that the operator will do prior link planning to reduce the multipath and maximize signal strength to the CPE. </w:t>
      </w:r>
    </w:p>
    <w:p w14:paraId="2B2871CC" w14:textId="549320F2" w:rsidR="009B5AE0" w:rsidRDefault="009B5AE0" w:rsidP="009B5AE0">
      <w:r>
        <w:t>Therefore, a channel model such as TDLA 30-10 would represent an appropriate environment for FWA deployments.</w:t>
      </w:r>
    </w:p>
    <w:p w14:paraId="2A4E2BBE" w14:textId="347A7CFE" w:rsidR="00D776C9" w:rsidRDefault="00D776C9" w:rsidP="00D776C9">
      <w:pPr>
        <w:pStyle w:val="RAN4proposal"/>
      </w:pPr>
      <w:bookmarkStart w:id="9" w:name="_Toc174013162"/>
      <w:r>
        <w:t xml:space="preserve">RAN4 shall use TDLA 30-10 </w:t>
      </w:r>
      <w:r w:rsidR="00663292">
        <w:t xml:space="preserve">Low </w:t>
      </w:r>
      <w:r>
        <w:t>for FWA performance requirements.</w:t>
      </w:r>
      <w:bookmarkEnd w:id="9"/>
    </w:p>
    <w:p w14:paraId="021B6BAD" w14:textId="7CF6E56B" w:rsidR="004B2E20" w:rsidRDefault="004B2E20" w:rsidP="004B2E20">
      <w:r w:rsidRPr="004C6778">
        <w:t xml:space="preserve">As FWA use cases imply a high </w:t>
      </w:r>
      <w:r w:rsidR="00CA04DC">
        <w:t>downlink</w:t>
      </w:r>
      <w:r w:rsidRPr="004C6778">
        <w:t xml:space="preserve"> data throughput</w:t>
      </w:r>
      <w:r>
        <w:t xml:space="preserve"> and potentially large antenna gain/link budget</w:t>
      </w:r>
      <w:r w:rsidRPr="004C6778">
        <w:t xml:space="preserve">, </w:t>
      </w:r>
      <w:r>
        <w:t>hence</w:t>
      </w:r>
      <w:r w:rsidRPr="004C6778">
        <w:t xml:space="preserve"> a relatively high MCS is recommended to be chosen.</w:t>
      </w:r>
    </w:p>
    <w:p w14:paraId="2FE233FE" w14:textId="6E6280B6" w:rsidR="004B2E20" w:rsidRPr="00A03796" w:rsidRDefault="004B2E20" w:rsidP="00CA04DC">
      <w:pPr>
        <w:pStyle w:val="RAN4proposal"/>
      </w:pPr>
      <w:bookmarkStart w:id="10" w:name="_Toc127458388"/>
      <w:bookmarkStart w:id="11" w:name="_Toc174013163"/>
      <w:r>
        <w:t>RAN4 shall</w:t>
      </w:r>
      <w:r w:rsidRPr="00A03796">
        <w:t xml:space="preserve"> that MCS </w:t>
      </w:r>
      <w:r w:rsidR="00B42D32">
        <w:t>17</w:t>
      </w:r>
      <w:r w:rsidRPr="00A03796">
        <w:t xml:space="preserve"> (table 2</w:t>
      </w:r>
      <w:r w:rsidR="00CA04DC">
        <w:t>) f</w:t>
      </w:r>
      <w:r w:rsidRPr="00A03796">
        <w:t>o</w:t>
      </w:r>
      <w:r w:rsidR="00CA04DC">
        <w:t>r</w:t>
      </w:r>
      <w:r w:rsidRPr="00A03796">
        <w:t xml:space="preserve"> FWA use cases</w:t>
      </w:r>
      <w:r>
        <w:t>.</w:t>
      </w:r>
      <w:bookmarkEnd w:id="10"/>
      <w:bookmarkEnd w:id="11"/>
    </w:p>
    <w:p w14:paraId="6F540B6F" w14:textId="06EB5EFD" w:rsidR="004B2E20" w:rsidRDefault="00CA04DC" w:rsidP="004B2E20">
      <w:r>
        <w:t>Similarly</w:t>
      </w:r>
      <w:r w:rsidR="008A5ED6">
        <w:t>,</w:t>
      </w:r>
      <w:r>
        <w:t xml:space="preserve"> this downlink data throughput requirement would imply a large carrier bandwidth and SCS, as the WID specifies FR1, it is assumed that both 15 and 30 kHz SCS requirements should be defined, and the maximum CBW on each of these SCSs should therefore be used for FWA.</w:t>
      </w:r>
    </w:p>
    <w:p w14:paraId="0DA577F3" w14:textId="2632E566" w:rsidR="00CA04DC" w:rsidRPr="00A03796" w:rsidRDefault="00CA04DC" w:rsidP="00CA04DC">
      <w:pPr>
        <w:pStyle w:val="RAN4proposal"/>
      </w:pPr>
      <w:bookmarkStart w:id="12" w:name="_Toc174013164"/>
      <w:r>
        <w:t>RAN4 shall</w:t>
      </w:r>
      <w:r w:rsidRPr="00A03796">
        <w:t xml:space="preserve"> </w:t>
      </w:r>
      <w:r>
        <w:t>define requirements with 15 kHz SCS and 50 MHz CBW for FWA use cases.</w:t>
      </w:r>
      <w:bookmarkEnd w:id="12"/>
    </w:p>
    <w:p w14:paraId="09B19573" w14:textId="2967674F" w:rsidR="00CA04DC" w:rsidRPr="00A03796" w:rsidRDefault="00CA04DC" w:rsidP="00CA04DC">
      <w:pPr>
        <w:pStyle w:val="RAN4proposal"/>
      </w:pPr>
      <w:bookmarkStart w:id="13" w:name="_Toc174013165"/>
      <w:r>
        <w:t>RAN4 shall</w:t>
      </w:r>
      <w:r w:rsidRPr="00A03796">
        <w:t xml:space="preserve"> </w:t>
      </w:r>
      <w:r>
        <w:t>define requirements with 30 kHz SCS and 100 MHz CBW for FWA use cases.</w:t>
      </w:r>
      <w:bookmarkEnd w:id="13"/>
    </w:p>
    <w:p w14:paraId="4521B48F" w14:textId="24BA2407" w:rsidR="0072223C" w:rsidRDefault="0060241A" w:rsidP="004B2E20">
      <w:r>
        <w:t xml:space="preserve">For the rank on the FWA case, typically it is expected that the full rank may be used; but as 8Rx </w:t>
      </w:r>
      <w:r w:rsidR="00886412">
        <w:t xml:space="preserve">presents a case whereby </w:t>
      </w:r>
      <w:r w:rsidR="00780E31">
        <w:t xml:space="preserve">a rank of </w:t>
      </w:r>
      <w:r w:rsidR="00886412">
        <w:t>8 layers is full rank</w:t>
      </w:r>
      <w:r w:rsidR="007E3DD1">
        <w:t>,</w:t>
      </w:r>
      <w:r w:rsidR="00886412">
        <w:t xml:space="preserve"> and RAN4 does not currently have a channel that can introduce Rank </w:t>
      </w:r>
      <w:r w:rsidR="00B6563D">
        <w:t xml:space="preserve">variability </w:t>
      </w:r>
      <w:r w:rsidR="00B6563D" w:rsidRPr="006A7A17">
        <w:t xml:space="preserve">(see </w:t>
      </w:r>
      <w:r w:rsidR="006A7A17" w:rsidRPr="006A7A17">
        <w:fldChar w:fldCharType="begin"/>
      </w:r>
      <w:r w:rsidR="006A7A17" w:rsidRPr="006A7A17">
        <w:instrText xml:space="preserve"> REF _Ref173325955 \r \h </w:instrText>
      </w:r>
      <w:r w:rsidR="006A7A17">
        <w:instrText xml:space="preserve"> \* MERGEFORMAT </w:instrText>
      </w:r>
      <w:r w:rsidR="006A7A17" w:rsidRPr="006A7A17">
        <w:fldChar w:fldCharType="separate"/>
      </w:r>
      <w:r w:rsidR="006A7A17" w:rsidRPr="006A7A17">
        <w:t>[3]</w:t>
      </w:r>
      <w:r w:rsidR="006A7A17" w:rsidRPr="006A7A17">
        <w:fldChar w:fldCharType="end"/>
      </w:r>
      <w:r w:rsidR="00B6563D" w:rsidRPr="006A7A17">
        <w:t>)</w:t>
      </w:r>
      <w:r w:rsidR="007E3DD1">
        <w:t xml:space="preserve"> </w:t>
      </w:r>
      <w:r w:rsidR="00FC54F5">
        <w:t xml:space="preserve">then Nokia believes that it is not representative to </w:t>
      </w:r>
      <w:r w:rsidR="0072223C">
        <w:t>define a rank 8 requirement.</w:t>
      </w:r>
    </w:p>
    <w:p w14:paraId="0301825D" w14:textId="2C85527A" w:rsidR="0072223C" w:rsidRDefault="0072223C" w:rsidP="0072223C">
      <w:pPr>
        <w:pStyle w:val="RAN4observation0"/>
      </w:pPr>
      <w:bookmarkStart w:id="14" w:name="_Toc174013166"/>
      <w:r>
        <w:t xml:space="preserve">Due to a lack of spatial model in RAN4 currently, </w:t>
      </w:r>
      <w:r w:rsidR="00D81F48">
        <w:t>a rank 8 requirement may not be representative of a relevant deployment.</w:t>
      </w:r>
      <w:bookmarkEnd w:id="14"/>
    </w:p>
    <w:p w14:paraId="6231054E" w14:textId="47297787" w:rsidR="00CA04DC" w:rsidRDefault="0072223C" w:rsidP="004B2E20">
      <w:r>
        <w:t>T</w:t>
      </w:r>
      <w:r w:rsidR="00B6563D">
        <w:t>herefore</w:t>
      </w:r>
      <w:r w:rsidR="004A159E">
        <w:t>,</w:t>
      </w:r>
      <w:r w:rsidR="00B6563D">
        <w:t xml:space="preserve"> Nokia believes that the maximum rank whilst using 1 codeword should be used for </w:t>
      </w:r>
      <w:r w:rsidR="004A159E">
        <w:t>defining</w:t>
      </w:r>
      <w:r w:rsidR="00B6563D">
        <w:t xml:space="preserve"> requirements, as in this case the lack of rank deficiency is contained within a single codeword.</w:t>
      </w:r>
    </w:p>
    <w:p w14:paraId="540C796B" w14:textId="5C9339A6" w:rsidR="00B6563D" w:rsidRDefault="00B6563D" w:rsidP="00B6563D">
      <w:pPr>
        <w:pStyle w:val="RAN4proposal"/>
      </w:pPr>
      <w:bookmarkStart w:id="15" w:name="_Toc174013167"/>
      <w:r>
        <w:t xml:space="preserve">RAN4 shall use a rank of 4 </w:t>
      </w:r>
      <w:r w:rsidR="00663292">
        <w:t>to define requirements for FWA.</w:t>
      </w:r>
      <w:bookmarkEnd w:id="15"/>
    </w:p>
    <w:p w14:paraId="2E6CFC6D" w14:textId="381C0D6D" w:rsidR="00663292" w:rsidRDefault="00663292" w:rsidP="00663292">
      <w:r>
        <w:t>Similarly, due to a lack of spatial aspect in the TDL Low channel</w:t>
      </w:r>
      <w:r w:rsidR="006A3B48">
        <w:t>, the choice of PMI makes absolutely no difference therefore Nokia has no preference on the choice of precoder used in the PMI for FWA.</w:t>
      </w:r>
    </w:p>
    <w:p w14:paraId="41875464" w14:textId="7620BF32" w:rsidR="006A3B48" w:rsidRPr="00663292" w:rsidRDefault="006A3B48" w:rsidP="005014CC">
      <w:pPr>
        <w:pStyle w:val="RAN4observation0"/>
      </w:pPr>
      <w:bookmarkStart w:id="16" w:name="_Toc174013168"/>
      <w:r>
        <w:t>RAN4</w:t>
      </w:r>
      <w:r w:rsidR="00772EB9">
        <w:t xml:space="preserve"> could choose an</w:t>
      </w:r>
      <w:r w:rsidR="005014CC">
        <w:t>y</w:t>
      </w:r>
      <w:r w:rsidR="00772EB9">
        <w:t xml:space="preserve"> Rank 4 PMI index for FWA requirements</w:t>
      </w:r>
      <w:r w:rsidR="005014CC">
        <w:t xml:space="preserve"> </w:t>
      </w:r>
      <w:r w:rsidR="006C13ED">
        <w:t xml:space="preserve">if TLDA 30-10 Low is </w:t>
      </w:r>
      <w:proofErr w:type="gramStart"/>
      <w:r w:rsidR="006C13ED">
        <w:t>used.</w:t>
      </w:r>
      <w:r w:rsidR="00772EB9">
        <w:t>.</w:t>
      </w:r>
      <w:bookmarkEnd w:id="16"/>
      <w:proofErr w:type="gramEnd"/>
    </w:p>
    <w:p w14:paraId="69D2AC09" w14:textId="4FBF7F8B" w:rsidR="00D776C9" w:rsidRDefault="0060241A" w:rsidP="00B77780">
      <w:pPr>
        <w:pStyle w:val="RAN4H3"/>
      </w:pPr>
      <w:r>
        <w:t>Parameters</w:t>
      </w:r>
      <w:r w:rsidR="00D776C9">
        <w:t xml:space="preserve"> for Vehicular</w:t>
      </w:r>
      <w:r w:rsidR="00E33AA9">
        <w:t xml:space="preserve"> deployment</w:t>
      </w:r>
      <w:r w:rsidR="00567226">
        <w:t>s</w:t>
      </w:r>
    </w:p>
    <w:p w14:paraId="5893CCFE" w14:textId="24902157" w:rsidR="004B2E20" w:rsidRDefault="004B2E20" w:rsidP="004B2E20">
      <w:r>
        <w:t xml:space="preserve">In the vehicular use case, it is assumed that a vehicle will be travelling at speeds up to 120 km/h and moving between highly complex multi-path environments and open rural environments with benign multi-path. Therefore, a </w:t>
      </w:r>
      <w:r w:rsidR="00191191">
        <w:t>relatively complex</w:t>
      </w:r>
      <w:r>
        <w:t xml:space="preserve"> channel with a </w:t>
      </w:r>
      <w:r w:rsidR="00191191">
        <w:t>moderately</w:t>
      </w:r>
      <w:r>
        <w:t xml:space="preserve"> high doppler spread would emulate the conditions that we expect to be seen in this use case.</w:t>
      </w:r>
      <w:r w:rsidR="00191191">
        <w:t xml:space="preserve"> In this circumstance</w:t>
      </w:r>
      <w:r w:rsidR="00567226">
        <w:t>, a channel such as TDLB 100-400 Low could be suitable.</w:t>
      </w:r>
    </w:p>
    <w:p w14:paraId="0C6FF032" w14:textId="39F6E4D5" w:rsidR="00D776C9" w:rsidRDefault="00D776C9" w:rsidP="00D776C9">
      <w:pPr>
        <w:pStyle w:val="RAN4proposal"/>
      </w:pPr>
      <w:bookmarkStart w:id="17" w:name="_Toc174013169"/>
      <w:r>
        <w:t>RAN4 shall use TDLB 100-400</w:t>
      </w:r>
      <w:r w:rsidR="00567226">
        <w:t xml:space="preserve"> Low</w:t>
      </w:r>
      <w:r>
        <w:t xml:space="preserve"> for vehicular performance requirements.</w:t>
      </w:r>
      <w:bookmarkEnd w:id="17"/>
    </w:p>
    <w:p w14:paraId="746A00F7" w14:textId="00C9226B" w:rsidR="00567226" w:rsidRDefault="00567226" w:rsidP="00567226">
      <w:r>
        <w:t>For vehicular deployments a low</w:t>
      </w:r>
      <w:r w:rsidR="00D6729A">
        <w:t xml:space="preserve">er data </w:t>
      </w:r>
      <w:r w:rsidR="00B42D32">
        <w:t>throughput</w:t>
      </w:r>
      <w:r w:rsidR="00D6729A">
        <w:t xml:space="preserve"> may be expected, and as such a low </w:t>
      </w:r>
      <w:r>
        <w:t xml:space="preserve">MCS may be expected, therefore a </w:t>
      </w:r>
      <w:r w:rsidR="00D6729A">
        <w:t>suitable choice for requirement definition would be MCS 2</w:t>
      </w:r>
      <w:r w:rsidR="00B42D32">
        <w:t xml:space="preserve"> (table 2)</w:t>
      </w:r>
      <w:r w:rsidR="00D6729A">
        <w:t>.</w:t>
      </w:r>
    </w:p>
    <w:p w14:paraId="29466190" w14:textId="3F6A8450" w:rsidR="00B42D32" w:rsidRPr="00A03796" w:rsidRDefault="00B42D32" w:rsidP="00B42D32">
      <w:pPr>
        <w:pStyle w:val="RAN4proposal"/>
      </w:pPr>
      <w:bookmarkStart w:id="18" w:name="_Toc174013170"/>
      <w:r>
        <w:t>RAN4 shall</w:t>
      </w:r>
      <w:r w:rsidRPr="00A03796">
        <w:t xml:space="preserve"> that MCS </w:t>
      </w:r>
      <w:r>
        <w:t>2</w:t>
      </w:r>
      <w:r w:rsidRPr="00A03796">
        <w:t xml:space="preserve"> (table </w:t>
      </w:r>
      <w:r>
        <w:t>1) f</w:t>
      </w:r>
      <w:r w:rsidRPr="00A03796">
        <w:t>o</w:t>
      </w:r>
      <w:r>
        <w:t>r</w:t>
      </w:r>
      <w:r w:rsidRPr="00A03796">
        <w:t xml:space="preserve"> </w:t>
      </w:r>
      <w:r>
        <w:t>vehicular</w:t>
      </w:r>
      <w:r w:rsidRPr="00A03796">
        <w:t xml:space="preserve"> use cases</w:t>
      </w:r>
      <w:r>
        <w:t>.</w:t>
      </w:r>
      <w:bookmarkEnd w:id="18"/>
    </w:p>
    <w:p w14:paraId="0D5C4EC4" w14:textId="5F7910FD" w:rsidR="00B42D32" w:rsidRDefault="008A5ED6" w:rsidP="00567226">
      <w:r>
        <w:lastRenderedPageBreak/>
        <w:t xml:space="preserve">For the carrier bandwidth on vehicular deployments, it may be </w:t>
      </w:r>
      <w:r w:rsidR="00432389">
        <w:t>beneficial to define the minimum for each SCS configuration, especially as this use case is not targeting maximum throughput.</w:t>
      </w:r>
    </w:p>
    <w:p w14:paraId="7B261701" w14:textId="13467652" w:rsidR="00432389" w:rsidRPr="00A03796" w:rsidRDefault="00432389" w:rsidP="00432389">
      <w:pPr>
        <w:pStyle w:val="RAN4proposal"/>
      </w:pPr>
      <w:bookmarkStart w:id="19" w:name="_Toc174013171"/>
      <w:r>
        <w:t>RAN4 shall</w:t>
      </w:r>
      <w:r w:rsidRPr="00A03796">
        <w:t xml:space="preserve"> </w:t>
      </w:r>
      <w:r>
        <w:t>define requirements with 15 kHz SCS and 5 MHz CBW for vehicular use cases.</w:t>
      </w:r>
      <w:bookmarkEnd w:id="19"/>
    </w:p>
    <w:p w14:paraId="7F4D774C" w14:textId="4E50186A" w:rsidR="00432389" w:rsidRPr="00A03796" w:rsidRDefault="00432389" w:rsidP="00432389">
      <w:pPr>
        <w:pStyle w:val="RAN4proposal"/>
      </w:pPr>
      <w:bookmarkStart w:id="20" w:name="_Toc174013172"/>
      <w:r>
        <w:t>RAN4 shall</w:t>
      </w:r>
      <w:r w:rsidRPr="00A03796">
        <w:t xml:space="preserve"> </w:t>
      </w:r>
      <w:r>
        <w:t>define requirements with 30 kHz SCS and 10 MHz CBW for vehicular use cases.</w:t>
      </w:r>
      <w:bookmarkEnd w:id="20"/>
    </w:p>
    <w:p w14:paraId="4F1BDF62" w14:textId="7AA007BD" w:rsidR="00432389" w:rsidRDefault="005D651E" w:rsidP="00567226">
      <w:r>
        <w:t>Regarding rank, it is also further useful to note that as the vehicular use case is potentially targeting edge of cell deployments as the vehicle travels between cells that a lower channel rank may wish to be used</w:t>
      </w:r>
      <w:r w:rsidR="006F4E49">
        <w:t xml:space="preserve"> to increase coverage. </w:t>
      </w:r>
      <w:proofErr w:type="gramStart"/>
      <w:r w:rsidR="006F4E49">
        <w:t>Therefore</w:t>
      </w:r>
      <w:proofErr w:type="gramEnd"/>
      <w:r w:rsidR="006F4E49">
        <w:t xml:space="preserve"> a rank of 2 would be appropriate for these deployments.</w:t>
      </w:r>
    </w:p>
    <w:p w14:paraId="4097BFC2" w14:textId="3DA3CC2A" w:rsidR="006F4E49" w:rsidRPr="00567226" w:rsidRDefault="006F4E49" w:rsidP="007F3662">
      <w:pPr>
        <w:pStyle w:val="RAN4proposal"/>
      </w:pPr>
      <w:bookmarkStart w:id="21" w:name="_Toc174013173"/>
      <w:r>
        <w:t>RAN4 shall use a rank of 2 to define requirements for vehicular deployments</w:t>
      </w:r>
      <w:r w:rsidR="00AE7C4D">
        <w:t>.</w:t>
      </w:r>
      <w:bookmarkEnd w:id="21"/>
    </w:p>
    <w:p w14:paraId="4390E9A6" w14:textId="41B4CA3E" w:rsidR="00D776C9" w:rsidRDefault="00D776C9" w:rsidP="00B77780">
      <w:pPr>
        <w:pStyle w:val="RAN4H3"/>
      </w:pPr>
      <w:r>
        <w:t>Channel Model for Industrial</w:t>
      </w:r>
      <w:r w:rsidR="00567226">
        <w:t xml:space="preserve"> deployments</w:t>
      </w:r>
    </w:p>
    <w:p w14:paraId="01044E24" w14:textId="7BD6F0E0" w:rsidR="00170857" w:rsidRDefault="00017718" w:rsidP="00170857">
      <w:r w:rsidRPr="00017718">
        <w:t>In the industrial use case, it is assumed that devices will be operating in a stationary or slow-moving environment with potentially challenging multi-path conditions. Therefore, a channel model with a moderate Doppler spread and complex multi-path characteristics would be suitable for emulating these conditions. TDLC 300-100</w:t>
      </w:r>
      <w:r>
        <w:t xml:space="preserve"> Low </w:t>
      </w:r>
      <w:r w:rsidRPr="00017718">
        <w:t>could be appropriate for this use case.</w:t>
      </w:r>
    </w:p>
    <w:p w14:paraId="17709564" w14:textId="4917C665" w:rsidR="00D776C9" w:rsidRDefault="00D776C9" w:rsidP="00D776C9">
      <w:pPr>
        <w:pStyle w:val="RAN4proposal"/>
      </w:pPr>
      <w:bookmarkStart w:id="22" w:name="_Toc174013174"/>
      <w:r>
        <w:t>RAN4 shall use TDLC 300-100</w:t>
      </w:r>
      <w:r w:rsidR="00017718">
        <w:t xml:space="preserve"> Low</w:t>
      </w:r>
      <w:r>
        <w:t xml:space="preserve"> for industrial performance requirements.</w:t>
      </w:r>
      <w:bookmarkEnd w:id="22"/>
    </w:p>
    <w:p w14:paraId="78F788FB" w14:textId="51773327" w:rsidR="00967904" w:rsidRPr="00967904" w:rsidRDefault="00967904" w:rsidP="00967904">
      <w:r w:rsidRPr="00967904">
        <w:t xml:space="preserve">For industrial deployments, a higher </w:t>
      </w:r>
      <w:r>
        <w:t xml:space="preserve">yet moderate </w:t>
      </w:r>
      <w:r w:rsidRPr="00967904">
        <w:t xml:space="preserve">data throughput may be required, and as such, a </w:t>
      </w:r>
      <w:r>
        <w:t>moderately high</w:t>
      </w:r>
      <w:r w:rsidRPr="00967904">
        <w:t xml:space="preserve"> MCS would be suitable. MCS 13</w:t>
      </w:r>
      <w:r>
        <w:t xml:space="preserve"> </w:t>
      </w:r>
      <w:r w:rsidRPr="00967904">
        <w:t xml:space="preserve">would </w:t>
      </w:r>
      <w:r>
        <w:t xml:space="preserve">therefore </w:t>
      </w:r>
      <w:r w:rsidRPr="00967904">
        <w:t>be a suitable choice for requirement definition.</w:t>
      </w:r>
    </w:p>
    <w:p w14:paraId="7C80E155" w14:textId="09FF716E" w:rsidR="00F81414" w:rsidRDefault="00F81414" w:rsidP="00F81414">
      <w:pPr>
        <w:pStyle w:val="RAN4proposal"/>
      </w:pPr>
      <w:bookmarkStart w:id="23" w:name="_Toc174013175"/>
      <w:r>
        <w:t>RAN4 shall</w:t>
      </w:r>
      <w:r w:rsidRPr="00A03796">
        <w:t xml:space="preserve"> that MCS </w:t>
      </w:r>
      <w:r>
        <w:t>13</w:t>
      </w:r>
      <w:r w:rsidRPr="00A03796">
        <w:t xml:space="preserve"> (table </w:t>
      </w:r>
      <w:r>
        <w:t>2) f</w:t>
      </w:r>
      <w:r w:rsidRPr="00A03796">
        <w:t>o</w:t>
      </w:r>
      <w:r>
        <w:t>r</w:t>
      </w:r>
      <w:r w:rsidRPr="00A03796">
        <w:t xml:space="preserve"> </w:t>
      </w:r>
      <w:r>
        <w:t>industrial</w:t>
      </w:r>
      <w:r w:rsidRPr="00A03796">
        <w:t xml:space="preserve"> use cases</w:t>
      </w:r>
      <w:r>
        <w:t>.</w:t>
      </w:r>
      <w:bookmarkEnd w:id="23"/>
    </w:p>
    <w:p w14:paraId="47CE9AC3" w14:textId="58C690E0" w:rsidR="00FF77D2" w:rsidRPr="00FF77D2" w:rsidRDefault="00FF77D2" w:rsidP="00FF77D2">
      <w:r w:rsidRPr="00FF77D2">
        <w:t xml:space="preserve">Regarding carrier bandwidth, it is recommended to define requirements for both 15 kHz SCS and 30 kHz SCS configurations with 5 MHz and 10 MHz CBW respectively. This would provide flexibility for different industrial deployments and ensure adequate bandwidth for </w:t>
      </w:r>
      <w:r>
        <w:t>industrial</w:t>
      </w:r>
      <w:r w:rsidRPr="00FF77D2">
        <w:t xml:space="preserve"> applications.</w:t>
      </w:r>
    </w:p>
    <w:p w14:paraId="0C256D58" w14:textId="3149BC59" w:rsidR="00F81414" w:rsidRPr="00A03796" w:rsidRDefault="00F81414" w:rsidP="00F81414">
      <w:pPr>
        <w:pStyle w:val="RAN4proposal"/>
      </w:pPr>
      <w:bookmarkStart w:id="24" w:name="_Toc174013176"/>
      <w:r>
        <w:t>RAN4 shall</w:t>
      </w:r>
      <w:r w:rsidRPr="00A03796">
        <w:t xml:space="preserve"> </w:t>
      </w:r>
      <w:r>
        <w:t>define requirements with 15 kHz SCS and 5 MHz CBW for industrial use cases.</w:t>
      </w:r>
      <w:bookmarkEnd w:id="24"/>
    </w:p>
    <w:p w14:paraId="12E079FA" w14:textId="731955E1" w:rsidR="00F81414" w:rsidRDefault="00F81414" w:rsidP="00F81414">
      <w:pPr>
        <w:pStyle w:val="RAN4proposal"/>
      </w:pPr>
      <w:bookmarkStart w:id="25" w:name="_Toc174013177"/>
      <w:r>
        <w:t>RAN4 shall</w:t>
      </w:r>
      <w:r w:rsidRPr="00A03796">
        <w:t xml:space="preserve"> </w:t>
      </w:r>
      <w:r>
        <w:t>define requirements with 30 kHz SCS and 10 MHz CBW for industrial use cases.</w:t>
      </w:r>
      <w:bookmarkEnd w:id="25"/>
    </w:p>
    <w:p w14:paraId="1F5ACCFE" w14:textId="5E605CE3" w:rsidR="00FF77D2" w:rsidRPr="00FF77D2" w:rsidRDefault="00FF77D2" w:rsidP="00FF77D2">
      <w:r w:rsidRPr="00FF77D2">
        <w:t>For rank, it is recommended to use a rank of 2 for industrial deployments. This would provide a balance between coverage and data rate, ensuring reliable communication in potentially challenging environments.</w:t>
      </w:r>
    </w:p>
    <w:p w14:paraId="64E042A1" w14:textId="7D777490" w:rsidR="00F81414" w:rsidRPr="00567226" w:rsidRDefault="00F81414" w:rsidP="00F81414">
      <w:pPr>
        <w:pStyle w:val="RAN4proposal"/>
      </w:pPr>
      <w:bookmarkStart w:id="26" w:name="_Toc174013178"/>
      <w:r>
        <w:t>RAN4 shall use a rank of 2 to define requirements for industrial deployments.</w:t>
      </w:r>
      <w:bookmarkEnd w:id="26"/>
    </w:p>
    <w:p w14:paraId="4597717C" w14:textId="09C72002" w:rsidR="00DC4B8B" w:rsidRDefault="00DC4B8B" w:rsidP="00DC4B8B">
      <w:pPr>
        <w:pStyle w:val="RAN4H2"/>
        <w:rPr>
          <w:lang w:val="en-US"/>
        </w:rPr>
      </w:pPr>
      <w:r>
        <w:rPr>
          <w:lang w:val="en-US"/>
        </w:rPr>
        <w:t>PDSCH Parameters</w:t>
      </w:r>
    </w:p>
    <w:p w14:paraId="6D6F54EE" w14:textId="17EDD3D0" w:rsidR="00DC4B8B" w:rsidRDefault="00DC4B8B" w:rsidP="00DC4B8B">
      <w:pPr>
        <w:pStyle w:val="RAN4H3"/>
        <w:rPr>
          <w:lang w:val="en-US"/>
        </w:rPr>
      </w:pPr>
      <w:r>
        <w:rPr>
          <w:lang w:val="en-US"/>
        </w:rPr>
        <w:t>PDSCH Mapping Type</w:t>
      </w:r>
    </w:p>
    <w:p w14:paraId="408302BE" w14:textId="7192661E" w:rsidR="00DC4B8B" w:rsidRDefault="00DC4B8B" w:rsidP="00DC4B8B">
      <w:pPr>
        <w:rPr>
          <w:rStyle w:val="ui-provider"/>
        </w:rPr>
      </w:pPr>
      <w:r>
        <w:t xml:space="preserve">PDSCH mapping type B is a mandatory UE feature as shown below </w:t>
      </w:r>
      <w:r w:rsidR="00A319A8">
        <w:fldChar w:fldCharType="begin"/>
      </w:r>
      <w:r w:rsidR="00A319A8">
        <w:instrText xml:space="preserve"> REF _Ref173325447 \r \h </w:instrText>
      </w:r>
      <w:r w:rsidR="00A319A8">
        <w:fldChar w:fldCharType="separate"/>
      </w:r>
      <w:r w:rsidR="00A319A8">
        <w:t>[1]</w:t>
      </w:r>
      <w:r w:rsidR="00A319A8">
        <w:fldChar w:fldCharType="end"/>
      </w:r>
      <w:r>
        <w:t xml:space="preserve"> (section 4). The “yes” in the 2</w:t>
      </w:r>
      <w:r w:rsidRPr="00750D70">
        <w:rPr>
          <w:vertAlign w:val="superscript"/>
        </w:rPr>
        <w:t>nd</w:t>
      </w:r>
      <w:r>
        <w:t xml:space="preserve"> column indicates </w:t>
      </w:r>
      <w:r>
        <w:rPr>
          <w:rStyle w:val="ui-provider"/>
        </w:rPr>
        <w:t xml:space="preserve">that the associated feature is mandatory. </w:t>
      </w:r>
    </w:p>
    <w:p w14:paraId="7D0CF7A8" w14:textId="77777777" w:rsidR="00DC4B8B" w:rsidRPr="00AC37C4" w:rsidRDefault="00DC4B8B" w:rsidP="00DC4B8B"/>
    <w:p w14:paraId="7585D08E" w14:textId="77777777" w:rsidR="00DC4B8B" w:rsidRPr="003F2055" w:rsidRDefault="00DC4B8B" w:rsidP="00DC4B8B">
      <w:r w:rsidRPr="003F2055">
        <w:rPr>
          <w:noProof/>
        </w:rPr>
        <w:drawing>
          <wp:inline distT="0" distB="0" distL="0" distR="0" wp14:anchorId="7B9FED2B" wp14:editId="415A95B0">
            <wp:extent cx="6113145" cy="410210"/>
            <wp:effectExtent l="0" t="0" r="190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3145" cy="410210"/>
                    </a:xfrm>
                    <a:prstGeom prst="rect">
                      <a:avLst/>
                    </a:prstGeom>
                  </pic:spPr>
                </pic:pic>
              </a:graphicData>
            </a:graphic>
          </wp:inline>
        </w:drawing>
      </w:r>
    </w:p>
    <w:p w14:paraId="299EC06A" w14:textId="77777777" w:rsidR="00DC4B8B" w:rsidRDefault="00DC4B8B" w:rsidP="00DC4B8B"/>
    <w:p w14:paraId="4A485A7B" w14:textId="2BC8C8D2" w:rsidR="00DC4B8B" w:rsidRPr="003F2055" w:rsidRDefault="00DC4B8B" w:rsidP="00DC4B8B">
      <w:r>
        <w:t>Furthermore, one of the</w:t>
      </w:r>
      <w:r w:rsidRPr="003F2055">
        <w:t xml:space="preserve"> WI</w:t>
      </w:r>
      <w:r>
        <w:t xml:space="preserve"> objectives</w:t>
      </w:r>
      <w:r w:rsidRPr="003F2055">
        <w:t xml:space="preserve"> </w:t>
      </w:r>
      <w:r w:rsidR="00C31DB4">
        <w:fldChar w:fldCharType="begin"/>
      </w:r>
      <w:r w:rsidR="00C31DB4">
        <w:instrText xml:space="preserve"> REF _Ref173325447 \r \h </w:instrText>
      </w:r>
      <w:r w:rsidR="00C31DB4">
        <w:fldChar w:fldCharType="separate"/>
      </w:r>
      <w:r w:rsidR="00C31DB4">
        <w:t>[1]</w:t>
      </w:r>
      <w:r w:rsidR="00C31DB4">
        <w:fldChar w:fldCharType="end"/>
      </w:r>
      <w:r w:rsidR="00C31DB4">
        <w:t xml:space="preserve"> </w:t>
      </w:r>
      <w:r>
        <w:t>is to e</w:t>
      </w:r>
      <w:r w:rsidRPr="003F2055">
        <w:t xml:space="preserve">nable 8Rx for </w:t>
      </w:r>
      <w:r w:rsidRPr="003F2055">
        <w:rPr>
          <w:b/>
          <w:bCs/>
        </w:rPr>
        <w:t>industrial</w:t>
      </w:r>
      <w:r w:rsidRPr="003F2055">
        <w:t xml:space="preserve"> devices. </w:t>
      </w:r>
      <w:r>
        <w:t xml:space="preserve">The industrial use case assumes a very reliable environment with low latency transmissions. This implies short transmissions with short TDRA. This is possible using the </w:t>
      </w:r>
      <w:r w:rsidRPr="003F2055">
        <w:t>PDSCH type B feature</w:t>
      </w:r>
      <w:r>
        <w:t xml:space="preserve">. </w:t>
      </w:r>
      <w:r w:rsidRPr="003F2055">
        <w:t xml:space="preserve">Hence, it is important to </w:t>
      </w:r>
      <w:r>
        <w:t>also include the PDSCH mapping type B in</w:t>
      </w:r>
      <w:r w:rsidRPr="003F2055">
        <w:t xml:space="preserve"> </w:t>
      </w:r>
      <w:r>
        <w:t xml:space="preserve">the 8 Rx UE </w:t>
      </w:r>
      <w:proofErr w:type="spellStart"/>
      <w:r>
        <w:t>demod</w:t>
      </w:r>
      <w:proofErr w:type="spellEnd"/>
      <w:r>
        <w:t xml:space="preserve"> </w:t>
      </w:r>
      <w:r w:rsidRPr="003F2055">
        <w:t>requirement</w:t>
      </w:r>
      <w:r>
        <w:t>s</w:t>
      </w:r>
      <w:r w:rsidRPr="003F2055">
        <w:t>.</w:t>
      </w:r>
    </w:p>
    <w:p w14:paraId="54C3EE75" w14:textId="27861974" w:rsidR="00DC4B8B" w:rsidRDefault="00DC4B8B" w:rsidP="00DC4B8B">
      <w:pPr>
        <w:pStyle w:val="RAN4proposal"/>
      </w:pPr>
      <w:bookmarkStart w:id="27" w:name="_Toc174013179"/>
      <w:r>
        <w:t>RAN4 to include both PDSCH type A and type B requirements</w:t>
      </w:r>
      <w:r w:rsidR="009B5AE0">
        <w:t>.</w:t>
      </w:r>
      <w:bookmarkEnd w:id="27"/>
    </w:p>
    <w:p w14:paraId="61D6FE81" w14:textId="1B09A42B" w:rsidR="006C13ED" w:rsidRDefault="006C13ED" w:rsidP="006C13ED">
      <w:pPr>
        <w:pStyle w:val="RAN4H2"/>
      </w:pPr>
      <w:r>
        <w:lastRenderedPageBreak/>
        <w:t>Interference Models</w:t>
      </w:r>
    </w:p>
    <w:p w14:paraId="7C8D983C" w14:textId="4C4C3F21" w:rsidR="006C13ED" w:rsidRDefault="006C13ED" w:rsidP="006C13ED">
      <w:pPr>
        <w:pStyle w:val="RAN4H3"/>
      </w:pPr>
      <w:r>
        <w:t>Inter Cell</w:t>
      </w:r>
      <w:r w:rsidR="00575D69">
        <w:t xml:space="preserve"> Interference Model</w:t>
      </w:r>
    </w:p>
    <w:p w14:paraId="7707C113" w14:textId="24DD7226" w:rsidR="00560C9B" w:rsidRDefault="00675D96" w:rsidP="00560C9B">
      <w:r w:rsidRPr="0064581C">
        <w:t xml:space="preserve">The </w:t>
      </w:r>
      <w:r w:rsidR="00E5446B" w:rsidRPr="0064581C">
        <w:t>intercell</w:t>
      </w:r>
      <w:r w:rsidRPr="0064581C">
        <w:t xml:space="preserve"> int</w:t>
      </w:r>
      <w:r w:rsidR="0064581C" w:rsidRPr="0064581C">
        <w:t xml:space="preserve">erference model for PDSCH is defined in clause </w:t>
      </w:r>
      <w:r w:rsidR="00560C9B" w:rsidRPr="0064581C">
        <w:t>B.6</w:t>
      </w:r>
      <w:r w:rsidR="0064581C" w:rsidRPr="0064581C">
        <w:t>.2 of</w:t>
      </w:r>
      <w:r w:rsidR="00560C9B" w:rsidRPr="0064581C">
        <w:t xml:space="preserve"> 38.101-4</w:t>
      </w:r>
      <w:r w:rsidR="00355059">
        <w:t xml:space="preserve">, below is </w:t>
      </w:r>
      <w:proofErr w:type="gramStart"/>
      <w:r w:rsidR="00355059">
        <w:t>a brief summary</w:t>
      </w:r>
      <w:proofErr w:type="gramEnd"/>
      <w:r w:rsidR="00355059">
        <w:t xml:space="preserve"> of the model.</w:t>
      </w:r>
    </w:p>
    <w:p w14:paraId="3B530186" w14:textId="77777777" w:rsidR="00954332" w:rsidRDefault="00355059" w:rsidP="00560C9B">
      <w:r w:rsidRPr="00355059">
        <w:t>The</w:t>
      </w:r>
      <w:r>
        <w:t xml:space="preserve"> intercell</w:t>
      </w:r>
      <w:r w:rsidRPr="00355059">
        <w:t xml:space="preserve"> interference model simulates realistic interference scenarios in a cellular network by assuming synchronized network deployment and </w:t>
      </w:r>
      <w:r w:rsidR="00954332" w:rsidRPr="00355059">
        <w:t>modelling</w:t>
      </w:r>
      <w:r w:rsidRPr="00355059">
        <w:t xml:space="preserve"> the transmission parameters of interfering cells. </w:t>
      </w:r>
    </w:p>
    <w:p w14:paraId="74682C77" w14:textId="77777777" w:rsidR="00954332" w:rsidRDefault="00355059" w:rsidP="00560C9B">
      <w:r w:rsidRPr="00355059">
        <w:t xml:space="preserve">Each interfering cell transmits 16QAM modulated data over the entire PDSCH region and the full bandwidth of the reference measurement channel, including SSB and TRS/CSI-RS. </w:t>
      </w:r>
    </w:p>
    <w:p w14:paraId="372ED4AD" w14:textId="4499B226" w:rsidR="00355059" w:rsidRDefault="00355059" w:rsidP="00560C9B">
      <w:r w:rsidRPr="00355059">
        <w:t xml:space="preserve">The rank of the interfering cell is randomly determined, and a single precoding matrix is randomly selected for each slot. The model also specifies the DMRS </w:t>
      </w:r>
      <w:r w:rsidR="00261792">
        <w:t xml:space="preserve">port </w:t>
      </w:r>
      <w:r w:rsidRPr="00355059">
        <w:t>configuration</w:t>
      </w:r>
      <w:r w:rsidR="000C2050">
        <w:t xml:space="preserve"> dependent on the rank</w:t>
      </w:r>
      <w:r w:rsidRPr="00355059">
        <w:t>.</w:t>
      </w:r>
    </w:p>
    <w:p w14:paraId="4F93400B" w14:textId="0D2CC1EE" w:rsidR="00261792" w:rsidRDefault="00261792" w:rsidP="00560C9B">
      <w:r>
        <w:t>Overall</w:t>
      </w:r>
      <w:r w:rsidR="00F11D5C">
        <w:t>,</w:t>
      </w:r>
      <w:r>
        <w:t xml:space="preserve"> this model</w:t>
      </w:r>
      <w:r w:rsidR="00F11D5C">
        <w:t>ling approach</w:t>
      </w:r>
      <w:r>
        <w:t xml:space="preserve"> is independent of the parameters used on the </w:t>
      </w:r>
      <w:r w:rsidR="00B741EF">
        <w:t>‘wanted’ cell, so simply offer an interfering signal to the wanted signal.</w:t>
      </w:r>
    </w:p>
    <w:p w14:paraId="02226C3D" w14:textId="09127BC6" w:rsidR="00B741EF" w:rsidRDefault="00B741EF" w:rsidP="00B741EF">
      <w:pPr>
        <w:pStyle w:val="RAN4observation0"/>
      </w:pPr>
      <w:bookmarkStart w:id="28" w:name="_Toc174013180"/>
      <w:r>
        <w:t xml:space="preserve">The Inter Cell Interference model </w:t>
      </w:r>
      <w:r w:rsidR="00C73F7D">
        <w:t>is independent of the wanted cell link parameters.</w:t>
      </w:r>
      <w:bookmarkEnd w:id="28"/>
    </w:p>
    <w:p w14:paraId="4E878AF5" w14:textId="65B562DB" w:rsidR="00C73F7D" w:rsidRPr="00C73F7D" w:rsidRDefault="00C73F7D" w:rsidP="00C73F7D">
      <w:pPr>
        <w:pStyle w:val="RAN4proposal"/>
      </w:pPr>
      <w:bookmarkStart w:id="29" w:name="_Toc174013181"/>
      <w:r>
        <w:t>RAN4 shall use the Inter</w:t>
      </w:r>
      <w:r w:rsidR="006C5C34">
        <w:t>cell Interference model, specified in Clause B.6.2 of TS 38.101-4.</w:t>
      </w:r>
      <w:bookmarkEnd w:id="29"/>
    </w:p>
    <w:p w14:paraId="4A75F20C" w14:textId="4A439909" w:rsidR="00575D69" w:rsidRDefault="00575D69" w:rsidP="006C13ED">
      <w:pPr>
        <w:pStyle w:val="RAN4H3"/>
      </w:pPr>
      <w:r>
        <w:t>Intra Cell Inter User Interference Model</w:t>
      </w:r>
    </w:p>
    <w:p w14:paraId="29F8B401" w14:textId="0AFAFC7B" w:rsidR="00EB3666" w:rsidRDefault="00EB3666" w:rsidP="00457CFA">
      <w:r w:rsidRPr="00EB3666">
        <w:t xml:space="preserve">The WID </w:t>
      </w:r>
      <w:r>
        <w:fldChar w:fldCharType="begin"/>
      </w:r>
      <w:r>
        <w:instrText xml:space="preserve"> REF _Ref173325447 \r \h </w:instrText>
      </w:r>
      <w:r>
        <w:fldChar w:fldCharType="separate"/>
      </w:r>
      <w:r>
        <w:t>[1]</w:t>
      </w:r>
      <w:r>
        <w:fldChar w:fldCharType="end"/>
      </w:r>
      <w:r>
        <w:t xml:space="preserve"> indicates that for this WI to define int</w:t>
      </w:r>
      <w:r w:rsidR="008874D8">
        <w:t xml:space="preserve">ra cell inter user interference, we should utilise the Rel-17 interference model. Whilst </w:t>
      </w:r>
      <w:r w:rsidR="00584EDB">
        <w:t>TS 38.101-4</w:t>
      </w:r>
      <w:r w:rsidR="00A671B7">
        <w:t xml:space="preserve"> </w:t>
      </w:r>
      <w:r w:rsidR="00A671B7">
        <w:fldChar w:fldCharType="begin"/>
      </w:r>
      <w:r w:rsidR="00A671B7">
        <w:instrText xml:space="preserve"> REF _Ref173325628 \r \h </w:instrText>
      </w:r>
      <w:r w:rsidR="00A671B7">
        <w:fldChar w:fldCharType="separate"/>
      </w:r>
      <w:r w:rsidR="00A671B7">
        <w:t>[2]</w:t>
      </w:r>
      <w:r w:rsidR="00A671B7">
        <w:fldChar w:fldCharType="end"/>
      </w:r>
      <w:r w:rsidR="00584EDB">
        <w:t xml:space="preserve"> identifies how interference can be modelled, it only explicitly states that this is for intercell interference.</w:t>
      </w:r>
    </w:p>
    <w:p w14:paraId="1D85C2CD" w14:textId="3C412EE0" w:rsidR="00584EDB" w:rsidRDefault="00584EDB" w:rsidP="00584EDB">
      <w:pPr>
        <w:pStyle w:val="RAN4observation0"/>
      </w:pPr>
      <w:bookmarkStart w:id="30" w:name="_Toc174013182"/>
      <w:r>
        <w:t xml:space="preserve">There is no explicit method for intracell inter user </w:t>
      </w:r>
      <w:r w:rsidR="00A263CB">
        <w:t>interference modelling defined in TS 38.101-4.</w:t>
      </w:r>
      <w:bookmarkEnd w:id="30"/>
    </w:p>
    <w:p w14:paraId="20C8B7B4" w14:textId="6C9456AA" w:rsidR="00A263CB" w:rsidRPr="00A263CB" w:rsidRDefault="00A263CB" w:rsidP="00A263CB">
      <w:r>
        <w:t xml:space="preserve">However, it is important to note that </w:t>
      </w:r>
      <w:r w:rsidR="00A671B7">
        <w:t>requirements have been defined in previous releases that use 2 UEs within the same cell in the specification. For example</w:t>
      </w:r>
      <w:r w:rsidR="00BB4B7E">
        <w:t xml:space="preserve">, in clause 5.2.2.1.16 a precoder is </w:t>
      </w:r>
      <w:r w:rsidR="002254A2">
        <w:t xml:space="preserve">specifically </w:t>
      </w:r>
      <w:r w:rsidR="00BB4B7E">
        <w:t>defined for the interfer</w:t>
      </w:r>
      <w:r w:rsidR="00B62ADC">
        <w:t>ence due to another</w:t>
      </w:r>
      <w:r w:rsidR="00BB4B7E">
        <w:t xml:space="preserve"> UE.</w:t>
      </w:r>
    </w:p>
    <w:p w14:paraId="34C9CC2F" w14:textId="29457759" w:rsidR="00EB3666" w:rsidRDefault="002254A2" w:rsidP="00457CFA">
      <w:r w:rsidRPr="00B62ADC">
        <w:t>However, without a clear spatial channel</w:t>
      </w:r>
      <w:r w:rsidR="00B62ADC" w:rsidRPr="00B62ADC">
        <w:t xml:space="preserve"> defined</w:t>
      </w:r>
      <w:r w:rsidRPr="00B62ADC">
        <w:t xml:space="preserve">, it is not immediately obvious how a UE </w:t>
      </w:r>
      <w:r w:rsidR="00B62ADC" w:rsidRPr="00B62ADC">
        <w:t>can reject this interference as may happen in a true deployment.</w:t>
      </w:r>
      <w:r w:rsidR="00B62ADC">
        <w:t xml:space="preserve"> </w:t>
      </w:r>
      <w:r w:rsidR="00AA760A">
        <w:t xml:space="preserve">We </w:t>
      </w:r>
      <w:r w:rsidR="000E452F">
        <w:t>also note</w:t>
      </w:r>
      <w:r w:rsidR="00AA760A">
        <w:t xml:space="preserve"> that t</w:t>
      </w:r>
      <w:r w:rsidR="00B62ADC">
        <w:t xml:space="preserve">he interference signal power </w:t>
      </w:r>
      <w:r w:rsidR="00AA760A">
        <w:t xml:space="preserve">and INR </w:t>
      </w:r>
      <w:r w:rsidR="00B62ADC">
        <w:t>could be def</w:t>
      </w:r>
      <w:r w:rsidR="00AA760A">
        <w:t>ined in accordance with clause B.6.1.</w:t>
      </w:r>
    </w:p>
    <w:p w14:paraId="262A02AB" w14:textId="7F50EFC3" w:rsidR="00AA760A" w:rsidRDefault="00AA760A" w:rsidP="00AA760A">
      <w:pPr>
        <w:pStyle w:val="RAN4observation0"/>
      </w:pPr>
      <w:bookmarkStart w:id="31" w:name="_Toc174013183"/>
      <w:r>
        <w:t>The INR could be defined in accordance with clause B.6.1</w:t>
      </w:r>
      <w:r w:rsidR="00F11D5C">
        <w:t>.</w:t>
      </w:r>
      <w:bookmarkEnd w:id="31"/>
    </w:p>
    <w:p w14:paraId="4413A82D" w14:textId="13A65D98" w:rsidR="00F11D5C" w:rsidRPr="00F11D5C" w:rsidRDefault="00F11D5C" w:rsidP="00F11D5C">
      <w:pPr>
        <w:pStyle w:val="RAN4proposal"/>
      </w:pPr>
      <w:bookmarkStart w:id="32" w:name="_Toc174013184"/>
      <w:r>
        <w:t>RAN4 shall agree the exact method for Intra Cell Inter User Interference and look to include in a new clause of Annex B.6 of TS 38.101-4</w:t>
      </w:r>
      <w:bookmarkEnd w:id="32"/>
    </w:p>
    <w:p w14:paraId="433B305D" w14:textId="77777777" w:rsidR="00457CFA" w:rsidRPr="006C13ED" w:rsidRDefault="00457CFA" w:rsidP="00457CFA"/>
    <w:p w14:paraId="5375AD6F" w14:textId="77777777" w:rsidR="00CD7492" w:rsidRPr="00614DD8" w:rsidRDefault="00CD7492" w:rsidP="00A37002">
      <w:pPr>
        <w:pStyle w:val="RAN4H1"/>
        <w:rPr>
          <w:lang w:val="en-US"/>
        </w:rPr>
      </w:pPr>
      <w:bookmarkStart w:id="33" w:name="_Toc116995848"/>
      <w:r w:rsidRPr="00614DD8">
        <w:rPr>
          <w:lang w:val="en-US"/>
        </w:rPr>
        <w:t>Conclusion</w:t>
      </w:r>
      <w:bookmarkEnd w:id="33"/>
    </w:p>
    <w:p w14:paraId="648B4D72" w14:textId="5553B147" w:rsidR="00381F95" w:rsidRPr="00614DD8" w:rsidRDefault="00381F95" w:rsidP="00936159">
      <w:pPr>
        <w:rPr>
          <w:lang w:val="en-US"/>
        </w:rPr>
      </w:pPr>
      <w:r w:rsidRPr="00614DD8">
        <w:rPr>
          <w:lang w:val="en-US"/>
        </w:rPr>
        <w:t xml:space="preserve">The paper </w:t>
      </w:r>
      <w:r w:rsidR="00234149">
        <w:rPr>
          <w:lang w:val="en-US"/>
        </w:rPr>
        <w:t xml:space="preserve">introduces the topic of </w:t>
      </w:r>
      <w:r w:rsidR="00DC4B8B">
        <w:rPr>
          <w:lang w:val="en-US"/>
        </w:rPr>
        <w:t>8Rx UE demodulation in intra and inter-cell interference</w:t>
      </w:r>
      <w:r w:rsidR="00234149">
        <w:rPr>
          <w:lang w:val="en-US"/>
        </w:rPr>
        <w:t xml:space="preserve"> into </w:t>
      </w:r>
      <w:proofErr w:type="gramStart"/>
      <w:r w:rsidR="00234149">
        <w:rPr>
          <w:lang w:val="en-US"/>
        </w:rPr>
        <w:t>RAN4, and</w:t>
      </w:r>
      <w:proofErr w:type="gramEnd"/>
      <w:r w:rsidR="00234149">
        <w:rPr>
          <w:lang w:val="en-US"/>
        </w:rPr>
        <w:t xml:space="preserve"> presents some of the Nokia views on this topic for discussion during RAN4#1</w:t>
      </w:r>
      <w:r w:rsidR="00DC4B8B">
        <w:rPr>
          <w:lang w:val="en-US"/>
        </w:rPr>
        <w:t>12</w:t>
      </w:r>
      <w:r w:rsidR="00234149">
        <w:rPr>
          <w:lang w:val="en-US"/>
        </w:rPr>
        <w:t>.</w:t>
      </w:r>
    </w:p>
    <w:p w14:paraId="4F26EB40" w14:textId="77777777" w:rsidR="00381F95" w:rsidRPr="00614DD8" w:rsidRDefault="00381F95" w:rsidP="00936159">
      <w:pPr>
        <w:rPr>
          <w:lang w:val="en-US"/>
        </w:rPr>
      </w:pPr>
    </w:p>
    <w:p w14:paraId="231BD21D" w14:textId="77777777"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4007EAC4" w14:textId="38E39363" w:rsidR="002C08BF"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74013158" w:history="1">
        <w:r w:rsidR="002C08BF" w:rsidRPr="00787AF3">
          <w:rPr>
            <w:rStyle w:val="Hyperlink"/>
            <w:noProof/>
            <w:lang w:val="en-US"/>
          </w:rPr>
          <w:t>Proposal 1: RAN4 shall use a common set of parameters between both inter-cell and intra-cell deployments for 8Rx with MMSE-IRC.</w:t>
        </w:r>
      </w:hyperlink>
    </w:p>
    <w:p w14:paraId="0AC6282A" w14:textId="6872D0A6" w:rsidR="002C08BF" w:rsidRDefault="002C08B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13159" w:history="1">
        <w:r w:rsidRPr="00787AF3">
          <w:rPr>
            <w:rStyle w:val="Hyperlink"/>
            <w:noProof/>
          </w:rPr>
          <w:t>Proposal 2: RAN4 to introduce UE demodulation requirements for both TDD and FDD for 8Rx</w:t>
        </w:r>
      </w:hyperlink>
    </w:p>
    <w:p w14:paraId="6EFF8741" w14:textId="0917E819" w:rsidR="002C08BF" w:rsidRDefault="002C08BF">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013160" w:history="1">
        <w:r w:rsidRPr="00787AF3">
          <w:rPr>
            <w:rStyle w:val="Hyperlink"/>
            <w:b/>
            <w:noProof/>
          </w:rPr>
          <w:t>Observation 1:</w:t>
        </w:r>
        <w:r w:rsidRPr="00787AF3">
          <w:rPr>
            <w:rStyle w:val="Hyperlink"/>
            <w:noProof/>
          </w:rPr>
          <w:t xml:space="preserve"> A spatial channel model, such as CDL, should be used for observing the spatial effects of a feature like 8Rx; however, as this is ongoing in Rel-19 it would not be possible to agree a SCM in this work item</w:t>
        </w:r>
      </w:hyperlink>
    </w:p>
    <w:p w14:paraId="5BF4CB10" w14:textId="42515A6A" w:rsidR="002C08BF" w:rsidRDefault="002C08B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13161" w:history="1">
        <w:r w:rsidRPr="00787AF3">
          <w:rPr>
            <w:rStyle w:val="Hyperlink"/>
            <w:noProof/>
          </w:rPr>
          <w:t>Proposal 3: RAN4 shall use a TDL based model for performance requirements.</w:t>
        </w:r>
      </w:hyperlink>
    </w:p>
    <w:p w14:paraId="591F07CB" w14:textId="01790A5A" w:rsidR="002C08BF" w:rsidRDefault="002C08B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13162" w:history="1">
        <w:r w:rsidRPr="00787AF3">
          <w:rPr>
            <w:rStyle w:val="Hyperlink"/>
            <w:noProof/>
          </w:rPr>
          <w:t>Proposal 4: RAN4 shall use TDLA 30-10 Low for FWA performance requirements.</w:t>
        </w:r>
      </w:hyperlink>
    </w:p>
    <w:p w14:paraId="167ACE91" w14:textId="4F2D8A29" w:rsidR="002C08BF" w:rsidRDefault="002C08B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13163" w:history="1">
        <w:r w:rsidRPr="00787AF3">
          <w:rPr>
            <w:rStyle w:val="Hyperlink"/>
            <w:noProof/>
          </w:rPr>
          <w:t>Proposal 5: RAN4 shall that MCS 17 (table 2) for FWA use cases.</w:t>
        </w:r>
      </w:hyperlink>
    </w:p>
    <w:p w14:paraId="00533FA9" w14:textId="02486F5E" w:rsidR="002C08BF" w:rsidRDefault="002C08B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13164" w:history="1">
        <w:r w:rsidRPr="00787AF3">
          <w:rPr>
            <w:rStyle w:val="Hyperlink"/>
            <w:noProof/>
          </w:rPr>
          <w:t>Proposal 6: RAN4 shall define requirements with 15 kHz SCS and 50 MHz CBW for FWA use cases.</w:t>
        </w:r>
      </w:hyperlink>
    </w:p>
    <w:p w14:paraId="14BDE59A" w14:textId="04B8AA18" w:rsidR="002C08BF" w:rsidRDefault="002C08B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13165" w:history="1">
        <w:r w:rsidRPr="00787AF3">
          <w:rPr>
            <w:rStyle w:val="Hyperlink"/>
            <w:noProof/>
          </w:rPr>
          <w:t>Proposal 7: RAN4 shall define requirements with 30 kHz SCS and 100 MHz CBW for FWA use cases.</w:t>
        </w:r>
      </w:hyperlink>
    </w:p>
    <w:p w14:paraId="541E090E" w14:textId="3CEF7884" w:rsidR="002C08BF" w:rsidRDefault="002C08BF">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013166" w:history="1">
        <w:r w:rsidRPr="00787AF3">
          <w:rPr>
            <w:rStyle w:val="Hyperlink"/>
            <w:b/>
            <w:noProof/>
          </w:rPr>
          <w:t>Observation 2:</w:t>
        </w:r>
        <w:r w:rsidRPr="00787AF3">
          <w:rPr>
            <w:rStyle w:val="Hyperlink"/>
            <w:noProof/>
          </w:rPr>
          <w:t xml:space="preserve"> Due to a lack of spatial model in RAN4 currently, a rank 8 requirement may not be representative of a relevant deployment.</w:t>
        </w:r>
      </w:hyperlink>
    </w:p>
    <w:p w14:paraId="1F4E4A91" w14:textId="7918D775" w:rsidR="002C08BF" w:rsidRDefault="002C08B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13167" w:history="1">
        <w:r w:rsidRPr="00787AF3">
          <w:rPr>
            <w:rStyle w:val="Hyperlink"/>
            <w:noProof/>
          </w:rPr>
          <w:t>Proposal 8: RAN4 shall use a rank of 4 to define requirements for FWA.</w:t>
        </w:r>
      </w:hyperlink>
    </w:p>
    <w:p w14:paraId="198F589F" w14:textId="52B0BCCE" w:rsidR="002C08BF" w:rsidRDefault="002C08BF">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013168" w:history="1">
        <w:r w:rsidRPr="00787AF3">
          <w:rPr>
            <w:rStyle w:val="Hyperlink"/>
            <w:b/>
            <w:noProof/>
          </w:rPr>
          <w:t>Observation 3:</w:t>
        </w:r>
        <w:r w:rsidRPr="00787AF3">
          <w:rPr>
            <w:rStyle w:val="Hyperlink"/>
            <w:noProof/>
          </w:rPr>
          <w:t xml:space="preserve"> RAN4 could choose any Rank 4 PMI index for FWA requirements if TLDA 30-10 Low is used..</w:t>
        </w:r>
      </w:hyperlink>
    </w:p>
    <w:p w14:paraId="2B478B3A" w14:textId="26382C5F" w:rsidR="002C08BF" w:rsidRDefault="002C08B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13169" w:history="1">
        <w:r w:rsidRPr="00787AF3">
          <w:rPr>
            <w:rStyle w:val="Hyperlink"/>
            <w:noProof/>
          </w:rPr>
          <w:t>Proposal 9: RAN4 shall use TDLB 100-400 Low for vehicular performance requirements.</w:t>
        </w:r>
      </w:hyperlink>
    </w:p>
    <w:p w14:paraId="72B50423" w14:textId="43C3E6CC" w:rsidR="002C08BF" w:rsidRDefault="002C08B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13170" w:history="1">
        <w:r w:rsidRPr="00787AF3">
          <w:rPr>
            <w:rStyle w:val="Hyperlink"/>
            <w:noProof/>
          </w:rPr>
          <w:t>Proposal 10: RAN4 shall that MCS 2 (table 1) for vehicular use cases.</w:t>
        </w:r>
      </w:hyperlink>
    </w:p>
    <w:p w14:paraId="256CAB47" w14:textId="58E46E90" w:rsidR="002C08BF" w:rsidRDefault="002C08B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13171" w:history="1">
        <w:r w:rsidRPr="00787AF3">
          <w:rPr>
            <w:rStyle w:val="Hyperlink"/>
            <w:noProof/>
          </w:rPr>
          <w:t>Proposal 11: RAN4 shall define requirements with 15 kHz SCS and 5 MHz CBW for vehicular use cases.</w:t>
        </w:r>
      </w:hyperlink>
    </w:p>
    <w:p w14:paraId="54F3804F" w14:textId="18DA36EA" w:rsidR="002C08BF" w:rsidRDefault="002C08B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13172" w:history="1">
        <w:r w:rsidRPr="00787AF3">
          <w:rPr>
            <w:rStyle w:val="Hyperlink"/>
            <w:noProof/>
          </w:rPr>
          <w:t>Proposal 12: RAN4 shall define requirements with 30 kHz SCS and 10 MHz CBW for vehicular use cases.</w:t>
        </w:r>
      </w:hyperlink>
    </w:p>
    <w:p w14:paraId="1C8E3569" w14:textId="7D86F564" w:rsidR="002C08BF" w:rsidRDefault="002C08B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13173" w:history="1">
        <w:r w:rsidRPr="00787AF3">
          <w:rPr>
            <w:rStyle w:val="Hyperlink"/>
            <w:noProof/>
          </w:rPr>
          <w:t>Proposal 13: RAN4 shall use a rank of 2 to define requirements for vehicular deployments.</w:t>
        </w:r>
      </w:hyperlink>
    </w:p>
    <w:p w14:paraId="16A3C767" w14:textId="188DFBF4" w:rsidR="002C08BF" w:rsidRDefault="002C08B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13174" w:history="1">
        <w:r w:rsidRPr="00787AF3">
          <w:rPr>
            <w:rStyle w:val="Hyperlink"/>
            <w:noProof/>
          </w:rPr>
          <w:t>Proposal 14: RAN4 shall use TDLC 300-100 Low for industrial performance requirements.</w:t>
        </w:r>
      </w:hyperlink>
    </w:p>
    <w:p w14:paraId="24256E1F" w14:textId="2A28BF76" w:rsidR="002C08BF" w:rsidRDefault="002C08B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13175" w:history="1">
        <w:r w:rsidRPr="00787AF3">
          <w:rPr>
            <w:rStyle w:val="Hyperlink"/>
            <w:noProof/>
          </w:rPr>
          <w:t>Proposal 15: RAN4 shall that MCS 13 (table 2) for industrial use cases.</w:t>
        </w:r>
      </w:hyperlink>
    </w:p>
    <w:p w14:paraId="4AFE5B7A" w14:textId="2ACCCED2" w:rsidR="002C08BF" w:rsidRDefault="002C08B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13176" w:history="1">
        <w:r w:rsidRPr="00787AF3">
          <w:rPr>
            <w:rStyle w:val="Hyperlink"/>
            <w:noProof/>
          </w:rPr>
          <w:t>Proposal 16: RAN4 shall define requirements with 15 kHz SCS and 5 MHz CBW for industrial use cases.</w:t>
        </w:r>
      </w:hyperlink>
    </w:p>
    <w:p w14:paraId="1B082459" w14:textId="0AD47E5C" w:rsidR="002C08BF" w:rsidRDefault="002C08B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13177" w:history="1">
        <w:r w:rsidRPr="00787AF3">
          <w:rPr>
            <w:rStyle w:val="Hyperlink"/>
            <w:noProof/>
          </w:rPr>
          <w:t>Proposal 17: RAN4 shall define requirements with 30 kHz SCS and 10 MHz CBW for industrial use cases.</w:t>
        </w:r>
      </w:hyperlink>
    </w:p>
    <w:p w14:paraId="226739AF" w14:textId="46A2FCC3" w:rsidR="002C08BF" w:rsidRDefault="002C08B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13178" w:history="1">
        <w:r w:rsidRPr="00787AF3">
          <w:rPr>
            <w:rStyle w:val="Hyperlink"/>
            <w:noProof/>
          </w:rPr>
          <w:t>Proposal 18: RAN4 shall use a rank of 2 to define requirements for industrial deployments.</w:t>
        </w:r>
      </w:hyperlink>
    </w:p>
    <w:p w14:paraId="6D1CAFC2" w14:textId="03EBE43C" w:rsidR="002C08BF" w:rsidRDefault="002C08B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13179" w:history="1">
        <w:r w:rsidRPr="00787AF3">
          <w:rPr>
            <w:rStyle w:val="Hyperlink"/>
            <w:noProof/>
          </w:rPr>
          <w:t>Proposal 19: RAN4 to include both PDSCH type A and type B requirements.</w:t>
        </w:r>
      </w:hyperlink>
    </w:p>
    <w:p w14:paraId="008FA6BB" w14:textId="020D9D00" w:rsidR="002C08BF" w:rsidRDefault="002C08BF">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013180" w:history="1">
        <w:r w:rsidRPr="00787AF3">
          <w:rPr>
            <w:rStyle w:val="Hyperlink"/>
            <w:b/>
            <w:noProof/>
          </w:rPr>
          <w:t>Observation 4:</w:t>
        </w:r>
        <w:r w:rsidRPr="00787AF3">
          <w:rPr>
            <w:rStyle w:val="Hyperlink"/>
            <w:noProof/>
          </w:rPr>
          <w:t xml:space="preserve"> The Inter Cell Interference model is independent of the wanted cell link parameters.</w:t>
        </w:r>
      </w:hyperlink>
    </w:p>
    <w:p w14:paraId="21FC1426" w14:textId="20430AD7" w:rsidR="002C08BF" w:rsidRDefault="002C08B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13181" w:history="1">
        <w:r w:rsidRPr="00787AF3">
          <w:rPr>
            <w:rStyle w:val="Hyperlink"/>
            <w:noProof/>
          </w:rPr>
          <w:t>Proposal 20: RAN4 shall use the Intercell Interference model, specified in Clause B.6.2 of TS 38.101-4.</w:t>
        </w:r>
      </w:hyperlink>
    </w:p>
    <w:p w14:paraId="5E9DC2D5" w14:textId="6E867CDC" w:rsidR="002C08BF" w:rsidRDefault="002C08BF">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013182" w:history="1">
        <w:r w:rsidRPr="00787AF3">
          <w:rPr>
            <w:rStyle w:val="Hyperlink"/>
            <w:b/>
            <w:noProof/>
          </w:rPr>
          <w:t>Observation 5:</w:t>
        </w:r>
        <w:r w:rsidRPr="00787AF3">
          <w:rPr>
            <w:rStyle w:val="Hyperlink"/>
            <w:noProof/>
          </w:rPr>
          <w:t xml:space="preserve"> There is no explicit method for intracell inter user interference modelling defined in TS 38.101-4.</w:t>
        </w:r>
      </w:hyperlink>
    </w:p>
    <w:p w14:paraId="6548403A" w14:textId="5F231A8D" w:rsidR="002C08BF" w:rsidRDefault="002C08BF">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013183" w:history="1">
        <w:r w:rsidRPr="00787AF3">
          <w:rPr>
            <w:rStyle w:val="Hyperlink"/>
            <w:b/>
            <w:noProof/>
          </w:rPr>
          <w:t>Observation 6:</w:t>
        </w:r>
        <w:r w:rsidRPr="00787AF3">
          <w:rPr>
            <w:rStyle w:val="Hyperlink"/>
            <w:noProof/>
          </w:rPr>
          <w:t xml:space="preserve"> The INR could be defined in accordance with clause B.6.1.</w:t>
        </w:r>
      </w:hyperlink>
    </w:p>
    <w:p w14:paraId="1FD4E74F" w14:textId="05E35F8C" w:rsidR="002C08BF" w:rsidRDefault="002C08B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13184" w:history="1">
        <w:r w:rsidRPr="00787AF3">
          <w:rPr>
            <w:rStyle w:val="Hyperlink"/>
            <w:noProof/>
          </w:rPr>
          <w:t>Proposal 21: RAN4 shall agree the exact method for Intra Cell Inter User Interference and look to include in a new clause of Annex B.6 of TS 38.101-4</w:t>
        </w:r>
      </w:hyperlink>
    </w:p>
    <w:p w14:paraId="34578CC6" w14:textId="45BA8D4D" w:rsidR="00847264" w:rsidRPr="00614DD8" w:rsidRDefault="00A4355E" w:rsidP="008C39F7">
      <w:pPr>
        <w:rPr>
          <w:lang w:val="en-US"/>
        </w:rPr>
      </w:pPr>
      <w:r w:rsidRPr="00614DD8">
        <w:rPr>
          <w:lang w:val="en-US"/>
        </w:rPr>
        <w:fldChar w:fldCharType="end"/>
      </w:r>
      <w:bookmarkStart w:id="34" w:name="_Toc116995849"/>
    </w:p>
    <w:p w14:paraId="1DC04EAA"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34"/>
    </w:p>
    <w:p w14:paraId="6868DDFC" w14:textId="2AD1663F" w:rsidR="003C2B77" w:rsidRDefault="003C2B77" w:rsidP="00A158FC">
      <w:pPr>
        <w:pStyle w:val="ListParagraph"/>
        <w:numPr>
          <w:ilvl w:val="0"/>
          <w:numId w:val="21"/>
        </w:numPr>
        <w:rPr>
          <w:lang w:val="en-US"/>
        </w:rPr>
      </w:pPr>
      <w:bookmarkStart w:id="35" w:name="_Ref114500673"/>
      <w:bookmarkStart w:id="36" w:name="_Ref173325955"/>
      <w:bookmarkEnd w:id="35"/>
      <w:r w:rsidRPr="003C2B77">
        <w:rPr>
          <w:lang w:val="en-US"/>
        </w:rPr>
        <w:t>RP-241297</w:t>
      </w:r>
      <w:r>
        <w:rPr>
          <w:lang w:val="en-US"/>
        </w:rPr>
        <w:t xml:space="preserve">, </w:t>
      </w:r>
      <w:r w:rsidR="00DF4177">
        <w:rPr>
          <w:lang w:val="en-US"/>
        </w:rPr>
        <w:t>“</w:t>
      </w:r>
      <w:r w:rsidR="00DF4177" w:rsidRPr="00DF4177">
        <w:rPr>
          <w:lang w:val="en-US"/>
        </w:rPr>
        <w:t>NR demodulation performance: Phase 5</w:t>
      </w:r>
      <w:r w:rsidR="00DF4177">
        <w:rPr>
          <w:lang w:val="en-US"/>
        </w:rPr>
        <w:t xml:space="preserve">”, </w:t>
      </w:r>
      <w:r w:rsidR="00A1746F">
        <w:rPr>
          <w:lang w:val="en-US"/>
        </w:rPr>
        <w:t>RAN</w:t>
      </w:r>
      <w:r w:rsidR="00746BAD">
        <w:rPr>
          <w:lang w:val="en-US"/>
        </w:rPr>
        <w:t>#</w:t>
      </w:r>
      <w:r w:rsidR="004437C2">
        <w:rPr>
          <w:lang w:val="en-US"/>
        </w:rPr>
        <w:t xml:space="preserve">104, </w:t>
      </w:r>
      <w:r w:rsidR="009436F1">
        <w:rPr>
          <w:lang w:val="en-US"/>
        </w:rPr>
        <w:t>June 2024</w:t>
      </w:r>
    </w:p>
    <w:p w14:paraId="1F7389A8" w14:textId="4B85D5D3" w:rsidR="00A158FC" w:rsidRPr="00A158FC" w:rsidRDefault="00A158FC" w:rsidP="00A158FC">
      <w:pPr>
        <w:pStyle w:val="ListParagraph"/>
        <w:numPr>
          <w:ilvl w:val="0"/>
          <w:numId w:val="21"/>
        </w:numPr>
        <w:rPr>
          <w:lang w:val="en-US"/>
        </w:rPr>
      </w:pPr>
      <w:r w:rsidRPr="00A158FC">
        <w:rPr>
          <w:lang w:val="en-US"/>
        </w:rPr>
        <w:t>TS 38.101-4, “User Equipment (UE) radio transmission and reception; Part 4: Performance requirements’ v18.</w:t>
      </w:r>
      <w:r w:rsidR="00793F38">
        <w:rPr>
          <w:lang w:val="en-US"/>
        </w:rPr>
        <w:t>4</w:t>
      </w:r>
      <w:r w:rsidRPr="00A158FC">
        <w:rPr>
          <w:lang w:val="en-US"/>
        </w:rPr>
        <w:t xml:space="preserve">.0, </w:t>
      </w:r>
      <w:r w:rsidR="00793F38">
        <w:rPr>
          <w:lang w:val="en-US"/>
        </w:rPr>
        <w:t>July</w:t>
      </w:r>
      <w:r w:rsidRPr="00A158FC">
        <w:rPr>
          <w:lang w:val="en-US"/>
        </w:rPr>
        <w:t xml:space="preserve"> 202</w:t>
      </w:r>
      <w:r w:rsidR="00793F38">
        <w:rPr>
          <w:lang w:val="en-US"/>
        </w:rPr>
        <w:t>4</w:t>
      </w:r>
    </w:p>
    <w:p w14:paraId="2AB89E2B" w14:textId="5B750028" w:rsidR="00EB3666" w:rsidRDefault="00BE766E" w:rsidP="00EB3666">
      <w:pPr>
        <w:pStyle w:val="ListParagraph"/>
        <w:numPr>
          <w:ilvl w:val="0"/>
          <w:numId w:val="21"/>
        </w:numPr>
        <w:ind w:right="-22"/>
        <w:rPr>
          <w:lang w:val="en-US"/>
        </w:rPr>
      </w:pPr>
      <w:r w:rsidRPr="00BE766E">
        <w:rPr>
          <w:lang w:val="en-US"/>
        </w:rPr>
        <w:t>R4-2402277</w:t>
      </w:r>
      <w:bookmarkEnd w:id="36"/>
      <w:r>
        <w:rPr>
          <w:lang w:val="en-US"/>
        </w:rPr>
        <w:t>, “</w:t>
      </w:r>
      <w:r w:rsidR="00C10FD2" w:rsidRPr="00C10FD2">
        <w:rPr>
          <w:lang w:val="en-US"/>
        </w:rPr>
        <w:t>Discussion on 8Rx general demodulation aspects and spatial channel models</w:t>
      </w:r>
      <w:r w:rsidR="00C10FD2">
        <w:rPr>
          <w:lang w:val="en-US"/>
        </w:rPr>
        <w:t>”, Nokia, Nokia Shanghai Bell, BT</w:t>
      </w:r>
      <w:r w:rsidR="003B0617">
        <w:rPr>
          <w:lang w:val="en-US"/>
        </w:rPr>
        <w:t>, RAN4#110</w:t>
      </w:r>
      <w:r w:rsidR="00611659">
        <w:rPr>
          <w:lang w:val="en-US"/>
        </w:rPr>
        <w:t>, Feb 2024</w:t>
      </w:r>
    </w:p>
    <w:p w14:paraId="55A17EAE"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0DB82" w14:textId="77777777" w:rsidR="00372539" w:rsidRDefault="00372539" w:rsidP="00001C9B">
      <w:pPr>
        <w:spacing w:after="0" w:line="240" w:lineRule="auto"/>
      </w:pPr>
      <w:r>
        <w:separator/>
      </w:r>
    </w:p>
  </w:endnote>
  <w:endnote w:type="continuationSeparator" w:id="0">
    <w:p w14:paraId="73680B65" w14:textId="77777777" w:rsidR="00372539" w:rsidRDefault="00372539" w:rsidP="00001C9B">
      <w:pPr>
        <w:spacing w:after="0" w:line="240" w:lineRule="auto"/>
      </w:pPr>
      <w:r>
        <w:continuationSeparator/>
      </w:r>
    </w:p>
  </w:endnote>
  <w:endnote w:type="continuationNotice" w:id="1">
    <w:p w14:paraId="42126DA6" w14:textId="77777777" w:rsidR="00372539" w:rsidRDefault="003725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F2DCD9" w14:textId="77777777" w:rsidR="00372539" w:rsidRDefault="00372539" w:rsidP="00001C9B">
      <w:pPr>
        <w:spacing w:after="0" w:line="240" w:lineRule="auto"/>
      </w:pPr>
      <w:r>
        <w:separator/>
      </w:r>
    </w:p>
  </w:footnote>
  <w:footnote w:type="continuationSeparator" w:id="0">
    <w:p w14:paraId="252FA282" w14:textId="77777777" w:rsidR="00372539" w:rsidRDefault="00372539" w:rsidP="00001C9B">
      <w:pPr>
        <w:spacing w:after="0" w:line="240" w:lineRule="auto"/>
      </w:pPr>
      <w:r>
        <w:continuationSeparator/>
      </w:r>
    </w:p>
  </w:footnote>
  <w:footnote w:type="continuationNotice" w:id="1">
    <w:p w14:paraId="7A9251B1" w14:textId="77777777" w:rsidR="00372539" w:rsidRDefault="0037253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2"/>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3"/>
  </w:num>
  <w:num w:numId="16" w16cid:durableId="516113510">
    <w:abstractNumId w:val="3"/>
  </w:num>
  <w:num w:numId="17" w16cid:durableId="1456096507">
    <w:abstractNumId w:val="11"/>
  </w:num>
  <w:num w:numId="18" w16cid:durableId="1397970374">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0"/>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54540807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E2034"/>
    <w:rsid w:val="00001C9B"/>
    <w:rsid w:val="000040DC"/>
    <w:rsid w:val="00011784"/>
    <w:rsid w:val="000151EF"/>
    <w:rsid w:val="00017718"/>
    <w:rsid w:val="000239F5"/>
    <w:rsid w:val="00043352"/>
    <w:rsid w:val="00052068"/>
    <w:rsid w:val="00072CCA"/>
    <w:rsid w:val="0008612A"/>
    <w:rsid w:val="00087EFD"/>
    <w:rsid w:val="00090E18"/>
    <w:rsid w:val="00094DE7"/>
    <w:rsid w:val="000A10BC"/>
    <w:rsid w:val="000A7F53"/>
    <w:rsid w:val="000B0056"/>
    <w:rsid w:val="000C2050"/>
    <w:rsid w:val="000C3C7B"/>
    <w:rsid w:val="000D0F93"/>
    <w:rsid w:val="000E452F"/>
    <w:rsid w:val="00106416"/>
    <w:rsid w:val="00110481"/>
    <w:rsid w:val="001127C9"/>
    <w:rsid w:val="00114498"/>
    <w:rsid w:val="00115B88"/>
    <w:rsid w:val="00117506"/>
    <w:rsid w:val="001178B3"/>
    <w:rsid w:val="00132F6A"/>
    <w:rsid w:val="00133913"/>
    <w:rsid w:val="00140221"/>
    <w:rsid w:val="001642FC"/>
    <w:rsid w:val="0016496B"/>
    <w:rsid w:val="00170857"/>
    <w:rsid w:val="001743E2"/>
    <w:rsid w:val="001745F8"/>
    <w:rsid w:val="0018204C"/>
    <w:rsid w:val="001838CF"/>
    <w:rsid w:val="001868EE"/>
    <w:rsid w:val="00190214"/>
    <w:rsid w:val="00191191"/>
    <w:rsid w:val="001A3BA4"/>
    <w:rsid w:val="001A6D1F"/>
    <w:rsid w:val="001B1EA8"/>
    <w:rsid w:val="001E30F6"/>
    <w:rsid w:val="00201D02"/>
    <w:rsid w:val="00217EE5"/>
    <w:rsid w:val="002254A2"/>
    <w:rsid w:val="00234149"/>
    <w:rsid w:val="00235F5C"/>
    <w:rsid w:val="00257FA3"/>
    <w:rsid w:val="00261792"/>
    <w:rsid w:val="00277B56"/>
    <w:rsid w:val="00282A74"/>
    <w:rsid w:val="002849D4"/>
    <w:rsid w:val="002A19F5"/>
    <w:rsid w:val="002B4922"/>
    <w:rsid w:val="002B69F3"/>
    <w:rsid w:val="002C08BF"/>
    <w:rsid w:val="002C22C3"/>
    <w:rsid w:val="002C2D19"/>
    <w:rsid w:val="002D10FA"/>
    <w:rsid w:val="002D4C55"/>
    <w:rsid w:val="002E6DED"/>
    <w:rsid w:val="00300956"/>
    <w:rsid w:val="00317187"/>
    <w:rsid w:val="0032499A"/>
    <w:rsid w:val="003341F7"/>
    <w:rsid w:val="00340A91"/>
    <w:rsid w:val="00347FEC"/>
    <w:rsid w:val="003509DF"/>
    <w:rsid w:val="00355059"/>
    <w:rsid w:val="00356F45"/>
    <w:rsid w:val="00366B74"/>
    <w:rsid w:val="00372539"/>
    <w:rsid w:val="00381F95"/>
    <w:rsid w:val="003A710A"/>
    <w:rsid w:val="003B0617"/>
    <w:rsid w:val="003B659E"/>
    <w:rsid w:val="003C275E"/>
    <w:rsid w:val="003C2B77"/>
    <w:rsid w:val="003C4FDE"/>
    <w:rsid w:val="003E58DF"/>
    <w:rsid w:val="003F0FF0"/>
    <w:rsid w:val="00404C4C"/>
    <w:rsid w:val="0041423F"/>
    <w:rsid w:val="00414F81"/>
    <w:rsid w:val="00432389"/>
    <w:rsid w:val="00436A0F"/>
    <w:rsid w:val="00437150"/>
    <w:rsid w:val="0043750A"/>
    <w:rsid w:val="004437C2"/>
    <w:rsid w:val="00447577"/>
    <w:rsid w:val="00457CFA"/>
    <w:rsid w:val="00470255"/>
    <w:rsid w:val="004732E9"/>
    <w:rsid w:val="00484937"/>
    <w:rsid w:val="004854BB"/>
    <w:rsid w:val="00494493"/>
    <w:rsid w:val="00496606"/>
    <w:rsid w:val="004A159E"/>
    <w:rsid w:val="004B2E20"/>
    <w:rsid w:val="004C5763"/>
    <w:rsid w:val="004E5E66"/>
    <w:rsid w:val="004E7ADB"/>
    <w:rsid w:val="005014CC"/>
    <w:rsid w:val="00503B4D"/>
    <w:rsid w:val="00504EE9"/>
    <w:rsid w:val="00514E4F"/>
    <w:rsid w:val="00521576"/>
    <w:rsid w:val="005250E6"/>
    <w:rsid w:val="00527108"/>
    <w:rsid w:val="00542D23"/>
    <w:rsid w:val="0054442C"/>
    <w:rsid w:val="00550285"/>
    <w:rsid w:val="00560C9B"/>
    <w:rsid w:val="00562492"/>
    <w:rsid w:val="00567226"/>
    <w:rsid w:val="00572A20"/>
    <w:rsid w:val="00575D69"/>
    <w:rsid w:val="005836F8"/>
    <w:rsid w:val="00584EDB"/>
    <w:rsid w:val="005918FA"/>
    <w:rsid w:val="00592A86"/>
    <w:rsid w:val="005B3029"/>
    <w:rsid w:val="005B4801"/>
    <w:rsid w:val="005B736A"/>
    <w:rsid w:val="005C23A4"/>
    <w:rsid w:val="005D1CDF"/>
    <w:rsid w:val="005D2BB7"/>
    <w:rsid w:val="005D651E"/>
    <w:rsid w:val="005D6FFE"/>
    <w:rsid w:val="005E61A8"/>
    <w:rsid w:val="005E6918"/>
    <w:rsid w:val="005F6419"/>
    <w:rsid w:val="0060241A"/>
    <w:rsid w:val="0060301D"/>
    <w:rsid w:val="0060543D"/>
    <w:rsid w:val="006104DD"/>
    <w:rsid w:val="00611659"/>
    <w:rsid w:val="006130B5"/>
    <w:rsid w:val="00614DD8"/>
    <w:rsid w:val="00617400"/>
    <w:rsid w:val="00626028"/>
    <w:rsid w:val="00632D29"/>
    <w:rsid w:val="0064581C"/>
    <w:rsid w:val="00657E24"/>
    <w:rsid w:val="00663292"/>
    <w:rsid w:val="00664950"/>
    <w:rsid w:val="006725CA"/>
    <w:rsid w:val="00675D96"/>
    <w:rsid w:val="00683220"/>
    <w:rsid w:val="00687FA0"/>
    <w:rsid w:val="006A3B48"/>
    <w:rsid w:val="006A3C11"/>
    <w:rsid w:val="006A7A17"/>
    <w:rsid w:val="006B7010"/>
    <w:rsid w:val="006C13ED"/>
    <w:rsid w:val="006C3095"/>
    <w:rsid w:val="006C5C34"/>
    <w:rsid w:val="006C6FC6"/>
    <w:rsid w:val="006D54D1"/>
    <w:rsid w:val="006E1151"/>
    <w:rsid w:val="006E6311"/>
    <w:rsid w:val="006F4E49"/>
    <w:rsid w:val="007145FF"/>
    <w:rsid w:val="00715B2A"/>
    <w:rsid w:val="0072223C"/>
    <w:rsid w:val="00733B21"/>
    <w:rsid w:val="007450F1"/>
    <w:rsid w:val="00746BAD"/>
    <w:rsid w:val="00751515"/>
    <w:rsid w:val="007554BE"/>
    <w:rsid w:val="007626B7"/>
    <w:rsid w:val="00772EB9"/>
    <w:rsid w:val="00780E31"/>
    <w:rsid w:val="007814EC"/>
    <w:rsid w:val="0078212B"/>
    <w:rsid w:val="00784DF6"/>
    <w:rsid w:val="00785232"/>
    <w:rsid w:val="00793F38"/>
    <w:rsid w:val="007B186C"/>
    <w:rsid w:val="007C1696"/>
    <w:rsid w:val="007C3ED0"/>
    <w:rsid w:val="007C48C4"/>
    <w:rsid w:val="007C5971"/>
    <w:rsid w:val="007E3DD1"/>
    <w:rsid w:val="007E42DC"/>
    <w:rsid w:val="007F54B9"/>
    <w:rsid w:val="00800AF2"/>
    <w:rsid w:val="00806A76"/>
    <w:rsid w:val="00811C9D"/>
    <w:rsid w:val="00816C80"/>
    <w:rsid w:val="0081797B"/>
    <w:rsid w:val="00841BCD"/>
    <w:rsid w:val="00847264"/>
    <w:rsid w:val="00851A8E"/>
    <w:rsid w:val="0085365B"/>
    <w:rsid w:val="008826C1"/>
    <w:rsid w:val="00883DFD"/>
    <w:rsid w:val="00886412"/>
    <w:rsid w:val="008874D8"/>
    <w:rsid w:val="0089210C"/>
    <w:rsid w:val="00893D2E"/>
    <w:rsid w:val="00895F01"/>
    <w:rsid w:val="008A1BF7"/>
    <w:rsid w:val="008A5B0E"/>
    <w:rsid w:val="008A5ED6"/>
    <w:rsid w:val="008B0961"/>
    <w:rsid w:val="008B642E"/>
    <w:rsid w:val="008C39F7"/>
    <w:rsid w:val="0090091A"/>
    <w:rsid w:val="009042BD"/>
    <w:rsid w:val="00904FE4"/>
    <w:rsid w:val="00927740"/>
    <w:rsid w:val="00932E61"/>
    <w:rsid w:val="00936159"/>
    <w:rsid w:val="00937CBC"/>
    <w:rsid w:val="00941DD4"/>
    <w:rsid w:val="009436F1"/>
    <w:rsid w:val="00954332"/>
    <w:rsid w:val="00964FFA"/>
    <w:rsid w:val="00967904"/>
    <w:rsid w:val="00977E1D"/>
    <w:rsid w:val="00984604"/>
    <w:rsid w:val="00994A48"/>
    <w:rsid w:val="009B0573"/>
    <w:rsid w:val="009B5AE0"/>
    <w:rsid w:val="009B7B48"/>
    <w:rsid w:val="009B7B4B"/>
    <w:rsid w:val="009B7C21"/>
    <w:rsid w:val="009E4E6E"/>
    <w:rsid w:val="00A04992"/>
    <w:rsid w:val="00A147AA"/>
    <w:rsid w:val="00A158FC"/>
    <w:rsid w:val="00A1746F"/>
    <w:rsid w:val="00A21D71"/>
    <w:rsid w:val="00A22B78"/>
    <w:rsid w:val="00A246F7"/>
    <w:rsid w:val="00A25AE5"/>
    <w:rsid w:val="00A263CB"/>
    <w:rsid w:val="00A26442"/>
    <w:rsid w:val="00A319A8"/>
    <w:rsid w:val="00A37002"/>
    <w:rsid w:val="00A4355E"/>
    <w:rsid w:val="00A520D9"/>
    <w:rsid w:val="00A57AED"/>
    <w:rsid w:val="00A64DA0"/>
    <w:rsid w:val="00A671B7"/>
    <w:rsid w:val="00A901BD"/>
    <w:rsid w:val="00A92BCD"/>
    <w:rsid w:val="00AA1B0E"/>
    <w:rsid w:val="00AA47B6"/>
    <w:rsid w:val="00AA760A"/>
    <w:rsid w:val="00AC163B"/>
    <w:rsid w:val="00AC5CA7"/>
    <w:rsid w:val="00AC6058"/>
    <w:rsid w:val="00AD16EA"/>
    <w:rsid w:val="00AE2BA5"/>
    <w:rsid w:val="00AE56B1"/>
    <w:rsid w:val="00AE6131"/>
    <w:rsid w:val="00AE6D09"/>
    <w:rsid w:val="00AE7C4D"/>
    <w:rsid w:val="00AF7A7C"/>
    <w:rsid w:val="00B02070"/>
    <w:rsid w:val="00B408B6"/>
    <w:rsid w:val="00B418E2"/>
    <w:rsid w:val="00B42D32"/>
    <w:rsid w:val="00B542DA"/>
    <w:rsid w:val="00B62ADC"/>
    <w:rsid w:val="00B6563D"/>
    <w:rsid w:val="00B73862"/>
    <w:rsid w:val="00B73F43"/>
    <w:rsid w:val="00B741EF"/>
    <w:rsid w:val="00B75BBF"/>
    <w:rsid w:val="00B77780"/>
    <w:rsid w:val="00B81CDC"/>
    <w:rsid w:val="00BA308C"/>
    <w:rsid w:val="00BA6B66"/>
    <w:rsid w:val="00BA6E48"/>
    <w:rsid w:val="00BB4B7E"/>
    <w:rsid w:val="00BE0AF6"/>
    <w:rsid w:val="00BE1F03"/>
    <w:rsid w:val="00BE58A7"/>
    <w:rsid w:val="00BE766E"/>
    <w:rsid w:val="00BF2218"/>
    <w:rsid w:val="00C0426B"/>
    <w:rsid w:val="00C045DF"/>
    <w:rsid w:val="00C10FD2"/>
    <w:rsid w:val="00C26D43"/>
    <w:rsid w:val="00C31DB4"/>
    <w:rsid w:val="00C35173"/>
    <w:rsid w:val="00C46548"/>
    <w:rsid w:val="00C574D5"/>
    <w:rsid w:val="00C73F32"/>
    <w:rsid w:val="00C73F7D"/>
    <w:rsid w:val="00C87462"/>
    <w:rsid w:val="00C900A3"/>
    <w:rsid w:val="00CA04DC"/>
    <w:rsid w:val="00CA180C"/>
    <w:rsid w:val="00CB22B2"/>
    <w:rsid w:val="00CC3EE2"/>
    <w:rsid w:val="00CD7492"/>
    <w:rsid w:val="00CE2034"/>
    <w:rsid w:val="00CE3A6B"/>
    <w:rsid w:val="00D00211"/>
    <w:rsid w:val="00D006D1"/>
    <w:rsid w:val="00D025AE"/>
    <w:rsid w:val="00D06309"/>
    <w:rsid w:val="00D351EA"/>
    <w:rsid w:val="00D40288"/>
    <w:rsid w:val="00D43403"/>
    <w:rsid w:val="00D46D8A"/>
    <w:rsid w:val="00D50A6B"/>
    <w:rsid w:val="00D5270B"/>
    <w:rsid w:val="00D62E71"/>
    <w:rsid w:val="00D6430D"/>
    <w:rsid w:val="00D66188"/>
    <w:rsid w:val="00D6729A"/>
    <w:rsid w:val="00D731F6"/>
    <w:rsid w:val="00D740CA"/>
    <w:rsid w:val="00D776C9"/>
    <w:rsid w:val="00D81F48"/>
    <w:rsid w:val="00D85728"/>
    <w:rsid w:val="00D95481"/>
    <w:rsid w:val="00DC4B8B"/>
    <w:rsid w:val="00DC7A13"/>
    <w:rsid w:val="00DE7064"/>
    <w:rsid w:val="00DF2997"/>
    <w:rsid w:val="00DF4177"/>
    <w:rsid w:val="00E10BC4"/>
    <w:rsid w:val="00E1415D"/>
    <w:rsid w:val="00E213BD"/>
    <w:rsid w:val="00E323E9"/>
    <w:rsid w:val="00E32FB6"/>
    <w:rsid w:val="00E33AA9"/>
    <w:rsid w:val="00E34018"/>
    <w:rsid w:val="00E437D2"/>
    <w:rsid w:val="00E43BF9"/>
    <w:rsid w:val="00E47BC6"/>
    <w:rsid w:val="00E51930"/>
    <w:rsid w:val="00E5446B"/>
    <w:rsid w:val="00E55751"/>
    <w:rsid w:val="00E64321"/>
    <w:rsid w:val="00E7398E"/>
    <w:rsid w:val="00E82B94"/>
    <w:rsid w:val="00E876B7"/>
    <w:rsid w:val="00EA2311"/>
    <w:rsid w:val="00EB3666"/>
    <w:rsid w:val="00EC7BC3"/>
    <w:rsid w:val="00ED7600"/>
    <w:rsid w:val="00EF13A7"/>
    <w:rsid w:val="00EF6073"/>
    <w:rsid w:val="00EF698B"/>
    <w:rsid w:val="00F11D5C"/>
    <w:rsid w:val="00F1362C"/>
    <w:rsid w:val="00F414F1"/>
    <w:rsid w:val="00F508B8"/>
    <w:rsid w:val="00F64C1B"/>
    <w:rsid w:val="00F72CB1"/>
    <w:rsid w:val="00F81414"/>
    <w:rsid w:val="00F8215E"/>
    <w:rsid w:val="00F824F5"/>
    <w:rsid w:val="00F90FAB"/>
    <w:rsid w:val="00F9374D"/>
    <w:rsid w:val="00FC29B9"/>
    <w:rsid w:val="00FC2E1D"/>
    <w:rsid w:val="00FC2E85"/>
    <w:rsid w:val="00FC54F5"/>
    <w:rsid w:val="00FC6FD3"/>
    <w:rsid w:val="00FE305C"/>
    <w:rsid w:val="00FF0301"/>
    <w:rsid w:val="00FF77D2"/>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0FFDB"/>
  <w15:chartTrackingRefBased/>
  <w15:docId w15:val="{AB7CF666-328E-4CBD-B0CC-132DECC9F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ui-provider">
    <w:name w:val="ui-provider"/>
    <w:basedOn w:val="DefaultParagraphFont"/>
    <w:rsid w:val="00DC4B8B"/>
  </w:style>
  <w:style w:type="character" w:styleId="Mention">
    <w:name w:val="Mention"/>
    <w:basedOn w:val="DefaultParagraphFont"/>
    <w:uiPriority w:val="99"/>
    <w:unhideWhenUsed/>
    <w:rsid w:val="00B77780"/>
    <w:rPr>
      <w:color w:val="2B579A"/>
      <w:shd w:val="clear" w:color="auto" w:fill="E1DFDD"/>
    </w:rPr>
  </w:style>
  <w:style w:type="paragraph" w:styleId="NormalWeb">
    <w:name w:val="Normal (Web)"/>
    <w:basedOn w:val="Normal"/>
    <w:uiPriority w:val="99"/>
    <w:semiHidden/>
    <w:unhideWhenUsed/>
    <w:rsid w:val="00457CFA"/>
    <w:pPr>
      <w:spacing w:before="100" w:beforeAutospacing="1" w:after="100" w:afterAutospacing="1" w:line="240" w:lineRule="auto"/>
    </w:pPr>
    <w:rPr>
      <w:rFonts w:eastAsia="Times New Roman" w:cs="Times New Roman"/>
      <w:sz w:val="24"/>
      <w:szCs w:val="24"/>
      <w:lang w:eastAsia="en-GB"/>
    </w:rPr>
  </w:style>
  <w:style w:type="character" w:customStyle="1" w:styleId="fui-flex">
    <w:name w:val="fui-flex"/>
    <w:basedOn w:val="DefaultParagraphFont"/>
    <w:rsid w:val="00457CFA"/>
  </w:style>
  <w:style w:type="paragraph" w:styleId="Header">
    <w:name w:val="header"/>
    <w:basedOn w:val="Normal"/>
    <w:link w:val="HeaderChar"/>
    <w:uiPriority w:val="99"/>
    <w:semiHidden/>
    <w:unhideWhenUsed/>
    <w:rsid w:val="00FC2E8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C2E85"/>
    <w:rPr>
      <w:rFonts w:ascii="Times New Roman" w:hAnsi="Times New Roman"/>
      <w:sz w:val="20"/>
      <w:lang w:val="en-GB"/>
    </w:rPr>
  </w:style>
  <w:style w:type="paragraph" w:styleId="Footer">
    <w:name w:val="footer"/>
    <w:basedOn w:val="Normal"/>
    <w:link w:val="FooterChar"/>
    <w:uiPriority w:val="99"/>
    <w:semiHidden/>
    <w:unhideWhenUsed/>
    <w:rsid w:val="00FC2E8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C2E85"/>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3013824">
      <w:bodyDiv w:val="1"/>
      <w:marLeft w:val="0"/>
      <w:marRight w:val="0"/>
      <w:marTop w:val="0"/>
      <w:marBottom w:val="0"/>
      <w:divBdr>
        <w:top w:val="none" w:sz="0" w:space="0" w:color="auto"/>
        <w:left w:val="none" w:sz="0" w:space="0" w:color="auto"/>
        <w:bottom w:val="none" w:sz="0" w:space="0" w:color="auto"/>
        <w:right w:val="none" w:sz="0" w:space="0" w:color="auto"/>
      </w:divBdr>
    </w:div>
    <w:div w:id="1553804113">
      <w:bodyDiv w:val="1"/>
      <w:marLeft w:val="0"/>
      <w:marRight w:val="0"/>
      <w:marTop w:val="0"/>
      <w:marBottom w:val="0"/>
      <w:divBdr>
        <w:top w:val="none" w:sz="0" w:space="0" w:color="auto"/>
        <w:left w:val="none" w:sz="0" w:space="0" w:color="auto"/>
        <w:bottom w:val="none" w:sz="0" w:space="0" w:color="auto"/>
        <w:right w:val="none" w:sz="0" w:space="0" w:color="auto"/>
      </w:divBdr>
    </w:div>
    <w:div w:id="1772775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Generation%20X+%20Research%20and%20Standardization%20Program%20(GX+)%20-%203GPP%20SCG%20-%20Nokia%20Internal\TSG%20RAN%20Plenary%20and%20WGs\RAN4%20SCG\RAN4%20meetings\RAN4%20112%20Maastricht\Templates\TDoc_Template_RAN4%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RBI5PAMIO524-1616901215-25604</_dlc_DocId>
    <HideFromDelve xmlns="71c5aaf6-e6ce-465b-b873-5148d2a4c105">false</HideFromDelve>
    <_dlc_DocIdUrl xmlns="71c5aaf6-e6ce-465b-b873-5148d2a4c105">
      <Url>https://nokia.sharepoint.com/sites/gxp/_layouts/15/DocIdRedir.aspx?ID=RBI5PAMIO524-1616901215-25604</Url>
      <Description>RBI5PAMIO524-1616901215-25604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7C92B241-D695-45EC-8813-8595C83DF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Template>
  <TotalTime>3</TotalTime>
  <Pages>5</Pages>
  <Words>2292</Words>
  <Characters>13068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15330</CharactersWithSpaces>
  <SharedDoc>false</SharedDoc>
  <HLinks>
    <vt:vector size="162" baseType="variant">
      <vt:variant>
        <vt:i4>1179697</vt:i4>
      </vt:variant>
      <vt:variant>
        <vt:i4>95</vt:i4>
      </vt:variant>
      <vt:variant>
        <vt:i4>0</vt:i4>
      </vt:variant>
      <vt:variant>
        <vt:i4>5</vt:i4>
      </vt:variant>
      <vt:variant>
        <vt:lpwstr/>
      </vt:variant>
      <vt:variant>
        <vt:lpwstr>_Toc173745708</vt:lpwstr>
      </vt:variant>
      <vt:variant>
        <vt:i4>1179697</vt:i4>
      </vt:variant>
      <vt:variant>
        <vt:i4>92</vt:i4>
      </vt:variant>
      <vt:variant>
        <vt:i4>0</vt:i4>
      </vt:variant>
      <vt:variant>
        <vt:i4>5</vt:i4>
      </vt:variant>
      <vt:variant>
        <vt:lpwstr/>
      </vt:variant>
      <vt:variant>
        <vt:lpwstr>_Toc173745707</vt:lpwstr>
      </vt:variant>
      <vt:variant>
        <vt:i4>1179697</vt:i4>
      </vt:variant>
      <vt:variant>
        <vt:i4>89</vt:i4>
      </vt:variant>
      <vt:variant>
        <vt:i4>0</vt:i4>
      </vt:variant>
      <vt:variant>
        <vt:i4>5</vt:i4>
      </vt:variant>
      <vt:variant>
        <vt:lpwstr/>
      </vt:variant>
      <vt:variant>
        <vt:lpwstr>_Toc173745706</vt:lpwstr>
      </vt:variant>
      <vt:variant>
        <vt:i4>1179697</vt:i4>
      </vt:variant>
      <vt:variant>
        <vt:i4>86</vt:i4>
      </vt:variant>
      <vt:variant>
        <vt:i4>0</vt:i4>
      </vt:variant>
      <vt:variant>
        <vt:i4>5</vt:i4>
      </vt:variant>
      <vt:variant>
        <vt:lpwstr/>
      </vt:variant>
      <vt:variant>
        <vt:lpwstr>_Toc173745705</vt:lpwstr>
      </vt:variant>
      <vt:variant>
        <vt:i4>1179697</vt:i4>
      </vt:variant>
      <vt:variant>
        <vt:i4>83</vt:i4>
      </vt:variant>
      <vt:variant>
        <vt:i4>0</vt:i4>
      </vt:variant>
      <vt:variant>
        <vt:i4>5</vt:i4>
      </vt:variant>
      <vt:variant>
        <vt:lpwstr/>
      </vt:variant>
      <vt:variant>
        <vt:lpwstr>_Toc173745704</vt:lpwstr>
      </vt:variant>
      <vt:variant>
        <vt:i4>1179697</vt:i4>
      </vt:variant>
      <vt:variant>
        <vt:i4>80</vt:i4>
      </vt:variant>
      <vt:variant>
        <vt:i4>0</vt:i4>
      </vt:variant>
      <vt:variant>
        <vt:i4>5</vt:i4>
      </vt:variant>
      <vt:variant>
        <vt:lpwstr/>
      </vt:variant>
      <vt:variant>
        <vt:lpwstr>_Toc173745703</vt:lpwstr>
      </vt:variant>
      <vt:variant>
        <vt:i4>1179697</vt:i4>
      </vt:variant>
      <vt:variant>
        <vt:i4>77</vt:i4>
      </vt:variant>
      <vt:variant>
        <vt:i4>0</vt:i4>
      </vt:variant>
      <vt:variant>
        <vt:i4>5</vt:i4>
      </vt:variant>
      <vt:variant>
        <vt:lpwstr/>
      </vt:variant>
      <vt:variant>
        <vt:lpwstr>_Toc173745702</vt:lpwstr>
      </vt:variant>
      <vt:variant>
        <vt:i4>1179697</vt:i4>
      </vt:variant>
      <vt:variant>
        <vt:i4>74</vt:i4>
      </vt:variant>
      <vt:variant>
        <vt:i4>0</vt:i4>
      </vt:variant>
      <vt:variant>
        <vt:i4>5</vt:i4>
      </vt:variant>
      <vt:variant>
        <vt:lpwstr/>
      </vt:variant>
      <vt:variant>
        <vt:lpwstr>_Toc173745701</vt:lpwstr>
      </vt:variant>
      <vt:variant>
        <vt:i4>1179697</vt:i4>
      </vt:variant>
      <vt:variant>
        <vt:i4>71</vt:i4>
      </vt:variant>
      <vt:variant>
        <vt:i4>0</vt:i4>
      </vt:variant>
      <vt:variant>
        <vt:i4>5</vt:i4>
      </vt:variant>
      <vt:variant>
        <vt:lpwstr/>
      </vt:variant>
      <vt:variant>
        <vt:lpwstr>_Toc173745700</vt:lpwstr>
      </vt:variant>
      <vt:variant>
        <vt:i4>1769520</vt:i4>
      </vt:variant>
      <vt:variant>
        <vt:i4>68</vt:i4>
      </vt:variant>
      <vt:variant>
        <vt:i4>0</vt:i4>
      </vt:variant>
      <vt:variant>
        <vt:i4>5</vt:i4>
      </vt:variant>
      <vt:variant>
        <vt:lpwstr/>
      </vt:variant>
      <vt:variant>
        <vt:lpwstr>_Toc173745699</vt:lpwstr>
      </vt:variant>
      <vt:variant>
        <vt:i4>1769520</vt:i4>
      </vt:variant>
      <vt:variant>
        <vt:i4>65</vt:i4>
      </vt:variant>
      <vt:variant>
        <vt:i4>0</vt:i4>
      </vt:variant>
      <vt:variant>
        <vt:i4>5</vt:i4>
      </vt:variant>
      <vt:variant>
        <vt:lpwstr/>
      </vt:variant>
      <vt:variant>
        <vt:lpwstr>_Toc173745698</vt:lpwstr>
      </vt:variant>
      <vt:variant>
        <vt:i4>1769520</vt:i4>
      </vt:variant>
      <vt:variant>
        <vt:i4>62</vt:i4>
      </vt:variant>
      <vt:variant>
        <vt:i4>0</vt:i4>
      </vt:variant>
      <vt:variant>
        <vt:i4>5</vt:i4>
      </vt:variant>
      <vt:variant>
        <vt:lpwstr/>
      </vt:variant>
      <vt:variant>
        <vt:lpwstr>_Toc173745697</vt:lpwstr>
      </vt:variant>
      <vt:variant>
        <vt:i4>1769520</vt:i4>
      </vt:variant>
      <vt:variant>
        <vt:i4>59</vt:i4>
      </vt:variant>
      <vt:variant>
        <vt:i4>0</vt:i4>
      </vt:variant>
      <vt:variant>
        <vt:i4>5</vt:i4>
      </vt:variant>
      <vt:variant>
        <vt:lpwstr/>
      </vt:variant>
      <vt:variant>
        <vt:lpwstr>_Toc173745696</vt:lpwstr>
      </vt:variant>
      <vt:variant>
        <vt:i4>1769520</vt:i4>
      </vt:variant>
      <vt:variant>
        <vt:i4>56</vt:i4>
      </vt:variant>
      <vt:variant>
        <vt:i4>0</vt:i4>
      </vt:variant>
      <vt:variant>
        <vt:i4>5</vt:i4>
      </vt:variant>
      <vt:variant>
        <vt:lpwstr/>
      </vt:variant>
      <vt:variant>
        <vt:lpwstr>_Toc173745695</vt:lpwstr>
      </vt:variant>
      <vt:variant>
        <vt:i4>1769520</vt:i4>
      </vt:variant>
      <vt:variant>
        <vt:i4>53</vt:i4>
      </vt:variant>
      <vt:variant>
        <vt:i4>0</vt:i4>
      </vt:variant>
      <vt:variant>
        <vt:i4>5</vt:i4>
      </vt:variant>
      <vt:variant>
        <vt:lpwstr/>
      </vt:variant>
      <vt:variant>
        <vt:lpwstr>_Toc173745694</vt:lpwstr>
      </vt:variant>
      <vt:variant>
        <vt:i4>1769520</vt:i4>
      </vt:variant>
      <vt:variant>
        <vt:i4>50</vt:i4>
      </vt:variant>
      <vt:variant>
        <vt:i4>0</vt:i4>
      </vt:variant>
      <vt:variant>
        <vt:i4>5</vt:i4>
      </vt:variant>
      <vt:variant>
        <vt:lpwstr/>
      </vt:variant>
      <vt:variant>
        <vt:lpwstr>_Toc173745693</vt:lpwstr>
      </vt:variant>
      <vt:variant>
        <vt:i4>1769520</vt:i4>
      </vt:variant>
      <vt:variant>
        <vt:i4>47</vt:i4>
      </vt:variant>
      <vt:variant>
        <vt:i4>0</vt:i4>
      </vt:variant>
      <vt:variant>
        <vt:i4>5</vt:i4>
      </vt:variant>
      <vt:variant>
        <vt:lpwstr/>
      </vt:variant>
      <vt:variant>
        <vt:lpwstr>_Toc173745692</vt:lpwstr>
      </vt:variant>
      <vt:variant>
        <vt:i4>1769520</vt:i4>
      </vt:variant>
      <vt:variant>
        <vt:i4>44</vt:i4>
      </vt:variant>
      <vt:variant>
        <vt:i4>0</vt:i4>
      </vt:variant>
      <vt:variant>
        <vt:i4>5</vt:i4>
      </vt:variant>
      <vt:variant>
        <vt:lpwstr/>
      </vt:variant>
      <vt:variant>
        <vt:lpwstr>_Toc173745691</vt:lpwstr>
      </vt:variant>
      <vt:variant>
        <vt:i4>1769520</vt:i4>
      </vt:variant>
      <vt:variant>
        <vt:i4>41</vt:i4>
      </vt:variant>
      <vt:variant>
        <vt:i4>0</vt:i4>
      </vt:variant>
      <vt:variant>
        <vt:i4>5</vt:i4>
      </vt:variant>
      <vt:variant>
        <vt:lpwstr/>
      </vt:variant>
      <vt:variant>
        <vt:lpwstr>_Toc173745690</vt:lpwstr>
      </vt:variant>
      <vt:variant>
        <vt:i4>1703984</vt:i4>
      </vt:variant>
      <vt:variant>
        <vt:i4>38</vt:i4>
      </vt:variant>
      <vt:variant>
        <vt:i4>0</vt:i4>
      </vt:variant>
      <vt:variant>
        <vt:i4>5</vt:i4>
      </vt:variant>
      <vt:variant>
        <vt:lpwstr/>
      </vt:variant>
      <vt:variant>
        <vt:lpwstr>_Toc173745689</vt:lpwstr>
      </vt:variant>
      <vt:variant>
        <vt:i4>1703984</vt:i4>
      </vt:variant>
      <vt:variant>
        <vt:i4>35</vt:i4>
      </vt:variant>
      <vt:variant>
        <vt:i4>0</vt:i4>
      </vt:variant>
      <vt:variant>
        <vt:i4>5</vt:i4>
      </vt:variant>
      <vt:variant>
        <vt:lpwstr/>
      </vt:variant>
      <vt:variant>
        <vt:lpwstr>_Toc173745688</vt:lpwstr>
      </vt:variant>
      <vt:variant>
        <vt:i4>1703984</vt:i4>
      </vt:variant>
      <vt:variant>
        <vt:i4>32</vt:i4>
      </vt:variant>
      <vt:variant>
        <vt:i4>0</vt:i4>
      </vt:variant>
      <vt:variant>
        <vt:i4>5</vt:i4>
      </vt:variant>
      <vt:variant>
        <vt:lpwstr/>
      </vt:variant>
      <vt:variant>
        <vt:lpwstr>_Toc173745687</vt:lpwstr>
      </vt:variant>
      <vt:variant>
        <vt:i4>1703984</vt:i4>
      </vt:variant>
      <vt:variant>
        <vt:i4>29</vt:i4>
      </vt:variant>
      <vt:variant>
        <vt:i4>0</vt:i4>
      </vt:variant>
      <vt:variant>
        <vt:i4>5</vt:i4>
      </vt:variant>
      <vt:variant>
        <vt:lpwstr/>
      </vt:variant>
      <vt:variant>
        <vt:lpwstr>_Toc173745686</vt:lpwstr>
      </vt:variant>
      <vt:variant>
        <vt:i4>1703984</vt:i4>
      </vt:variant>
      <vt:variant>
        <vt:i4>26</vt:i4>
      </vt:variant>
      <vt:variant>
        <vt:i4>0</vt:i4>
      </vt:variant>
      <vt:variant>
        <vt:i4>5</vt:i4>
      </vt:variant>
      <vt:variant>
        <vt:lpwstr/>
      </vt:variant>
      <vt:variant>
        <vt:lpwstr>_Toc173745685</vt:lpwstr>
      </vt:variant>
      <vt:variant>
        <vt:i4>1703984</vt:i4>
      </vt:variant>
      <vt:variant>
        <vt:i4>23</vt:i4>
      </vt:variant>
      <vt:variant>
        <vt:i4>0</vt:i4>
      </vt:variant>
      <vt:variant>
        <vt:i4>5</vt:i4>
      </vt:variant>
      <vt:variant>
        <vt:lpwstr/>
      </vt:variant>
      <vt:variant>
        <vt:lpwstr>_Toc173745684</vt:lpwstr>
      </vt:variant>
      <vt:variant>
        <vt:i4>1703984</vt:i4>
      </vt:variant>
      <vt:variant>
        <vt:i4>20</vt:i4>
      </vt:variant>
      <vt:variant>
        <vt:i4>0</vt:i4>
      </vt:variant>
      <vt:variant>
        <vt:i4>5</vt:i4>
      </vt:variant>
      <vt:variant>
        <vt:lpwstr/>
      </vt:variant>
      <vt:variant>
        <vt:lpwstr>_Toc173745683</vt:lpwstr>
      </vt:variant>
      <vt:variant>
        <vt:i4>1703984</vt:i4>
      </vt:variant>
      <vt:variant>
        <vt:i4>17</vt:i4>
      </vt:variant>
      <vt:variant>
        <vt:i4>0</vt:i4>
      </vt:variant>
      <vt:variant>
        <vt:i4>5</vt:i4>
      </vt:variant>
      <vt:variant>
        <vt:lpwstr/>
      </vt:variant>
      <vt:variant>
        <vt:lpwstr>_Toc173745682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6</cp:revision>
  <dcterms:created xsi:type="dcterms:W3CDTF">2024-08-08T11:36:00Z</dcterms:created>
  <dcterms:modified xsi:type="dcterms:W3CDTF">2024-08-08T11:39:00Z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70d9bed6-5bfd-4c6e-a01e-8727877794ee</vt:lpwstr>
  </property>
  <property fmtid="{D5CDD505-2E9C-101B-9397-08002B2CF9AE}" pid="11" name="MediaServiceImageTags">
    <vt:lpwstr/>
  </property>
</Properties>
</file>